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88AF3">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63593534">
      <w:pPr>
        <w:pStyle w:val="8"/>
        <w:keepNext w:val="0"/>
        <w:keepLines w:val="0"/>
        <w:pageBreakBefore w:val="0"/>
        <w:kinsoku/>
        <w:overflowPunct/>
        <w:topLinePunct w:val="0"/>
        <w:autoSpaceDE/>
        <w:autoSpaceDN/>
        <w:bidi w:val="0"/>
        <w:adjustRightInd/>
        <w:snapToGrid/>
        <w:spacing w:line="240" w:lineRule="auto"/>
        <w:rPr>
          <w:rFonts w:hint="eastAsia" w:ascii="仿宋_GB2312" w:hAnsi="仿宋_GB2312" w:eastAsia="仿宋_GB2312" w:cs="仿宋_GB2312"/>
          <w:sz w:val="32"/>
          <w:szCs w:val="32"/>
        </w:rPr>
      </w:pPr>
    </w:p>
    <w:p w14:paraId="040DC7DA">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7238037A">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6E79DDA5">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both"/>
        <w:rPr>
          <w:rFonts w:hint="eastAsia" w:ascii="仿宋_GB2312" w:hAnsi="仿宋_GB2312" w:eastAsia="仿宋_GB2312" w:cs="仿宋_GB2312"/>
          <w:sz w:val="32"/>
          <w:szCs w:val="32"/>
        </w:rPr>
      </w:pPr>
    </w:p>
    <w:p w14:paraId="5C0ED8B4">
      <w:pPr>
        <w:pStyle w:val="11"/>
        <w:rPr>
          <w:rFonts w:hint="eastAsia"/>
        </w:rPr>
      </w:pPr>
    </w:p>
    <w:p w14:paraId="3C150ED3">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6"/>
          <w:szCs w:val="36"/>
        </w:rPr>
      </w:pPr>
    </w:p>
    <w:p w14:paraId="30D2D143">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rPr>
        <w:t>杭环审发〔20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号</w:t>
      </w:r>
    </w:p>
    <w:p w14:paraId="42217AF0">
      <w:pPr>
        <w:pStyle w:val="8"/>
        <w:keepNext w:val="0"/>
        <w:keepLines w:val="0"/>
        <w:pageBreakBefore w:val="0"/>
        <w:kinsoku/>
        <w:overflowPunct/>
        <w:topLinePunct w:val="0"/>
        <w:autoSpaceDE/>
        <w:autoSpaceDN/>
        <w:bidi w:val="0"/>
        <w:adjustRightInd/>
        <w:snapToGrid/>
        <w:spacing w:line="240" w:lineRule="auto"/>
        <w:ind w:left="0" w:leftChars="0" w:firstLine="0" w:firstLineChars="0"/>
        <w:rPr>
          <w:rFonts w:hint="eastAsia"/>
          <w:sz w:val="10"/>
          <w:szCs w:val="10"/>
        </w:rPr>
      </w:pPr>
    </w:p>
    <w:p w14:paraId="08F27684">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关于对《杭锦后旗</w:t>
      </w:r>
      <w:r>
        <w:rPr>
          <w:rFonts w:hint="eastAsia" w:ascii="方正小标宋简体" w:hAnsi="方正小标宋简体" w:eastAsia="方正小标宋简体" w:cs="方正小标宋简体"/>
          <w:sz w:val="44"/>
          <w:szCs w:val="44"/>
          <w:lang w:eastAsia="zh-CN"/>
        </w:rPr>
        <w:t>扎格区块</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lang w:eastAsia="zh-CN"/>
        </w:rPr>
        <w:t>号平台4</w:t>
      </w:r>
      <w:r>
        <w:rPr>
          <w:rFonts w:hint="eastAsia" w:ascii="方正小标宋简体" w:hAnsi="方正小标宋简体" w:eastAsia="方正小标宋简体" w:cs="方正小标宋简体"/>
          <w:b w:val="0"/>
          <w:bCs w:val="0"/>
          <w:color w:val="auto"/>
          <w:sz w:val="44"/>
          <w:szCs w:val="44"/>
          <w:highlight w:val="none"/>
          <w:lang w:val="en-US" w:eastAsia="zh-CN"/>
        </w:rPr>
        <w:t>口井勘探项目环境影响报告表》的批复</w:t>
      </w:r>
    </w:p>
    <w:p w14:paraId="1A2C35E9">
      <w:pPr>
        <w:pStyle w:val="11"/>
        <w:rPr>
          <w:rFonts w:hint="eastAsia"/>
          <w:lang w:val="en-US" w:eastAsia="zh-CN"/>
        </w:rPr>
      </w:pPr>
    </w:p>
    <w:p w14:paraId="25BAFB1A">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lang w:val="en-US" w:eastAsia="zh-CN"/>
        </w:rPr>
      </w:pPr>
      <w:r>
        <w:rPr>
          <w:rFonts w:hint="eastAsia" w:ascii="仿宋_GB2312" w:hAnsi="仿宋_GB2312" w:cs="仿宋_GB2312"/>
          <w:color w:val="auto"/>
          <w:sz w:val="32"/>
          <w:szCs w:val="32"/>
          <w:highlight w:val="none"/>
          <w:lang w:val="en-US" w:eastAsia="zh-CN"/>
        </w:rPr>
        <w:t>中国石油天然气股份有限公司华北油田巴彦勘探开发分公司：</w:t>
      </w:r>
    </w:p>
    <w:p w14:paraId="22F5632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cs="仿宋_GB2312"/>
          <w:color w:val="auto"/>
          <w:kern w:val="0"/>
          <w:sz w:val="32"/>
          <w:szCs w:val="32"/>
          <w:lang w:val="en-US" w:eastAsia="zh-CN"/>
        </w:rPr>
      </w:pPr>
      <w:r>
        <w:rPr>
          <w:rFonts w:hint="eastAsia" w:ascii="仿宋_GB2312" w:hAnsi="仿宋_GB2312" w:cs="仿宋_GB2312"/>
          <w:color w:val="auto"/>
          <w:sz w:val="32"/>
          <w:szCs w:val="32"/>
          <w:highlight w:val="none"/>
          <w:lang w:val="en-US" w:eastAsia="zh-CN"/>
        </w:rPr>
        <w:t>你公司拟实施杭锦后旗扎格区块7号平台4口井勘探项目位于</w:t>
      </w:r>
      <w:r>
        <w:rPr>
          <w:rFonts w:hint="eastAsia" w:ascii="仿宋_GB2312" w:hAnsi="仿宋_GB2312" w:eastAsia="仿宋_GB2312" w:cs="仿宋_GB2312"/>
          <w:color w:val="auto"/>
          <w:sz w:val="32"/>
          <w:szCs w:val="32"/>
          <w:highlight w:val="none"/>
        </w:rPr>
        <w:t>杭锦后旗头道桥镇联增五社东北，井场中心地理坐标</w:t>
      </w:r>
      <w:r>
        <w:rPr>
          <w:rFonts w:hint="eastAsia" w:ascii="仿宋_GB2312" w:hAnsi="仿宋_GB2312" w:cs="仿宋_GB2312"/>
          <w:color w:val="auto"/>
          <w:sz w:val="32"/>
          <w:szCs w:val="32"/>
          <w:highlight w:val="none"/>
          <w:lang w:val="en-US" w:eastAsia="zh-CN"/>
        </w:rPr>
        <w:t>为东经</w:t>
      </w:r>
      <w:r>
        <w:rPr>
          <w:rFonts w:hint="eastAsia" w:ascii="仿宋_GB2312" w:hAnsi="仿宋_GB2312" w:eastAsia="仿宋_GB2312" w:cs="仿宋_GB2312"/>
          <w:color w:val="auto"/>
          <w:kern w:val="0"/>
          <w:sz w:val="32"/>
          <w:szCs w:val="32"/>
        </w:rPr>
        <w:t>107°1′49.176″，</w:t>
      </w:r>
      <w:r>
        <w:rPr>
          <w:rFonts w:hint="eastAsia" w:ascii="仿宋_GB2312" w:hAnsi="仿宋_GB2312" w:cs="仿宋_GB2312"/>
          <w:color w:val="auto"/>
          <w:kern w:val="0"/>
          <w:sz w:val="32"/>
          <w:szCs w:val="32"/>
          <w:lang w:val="en-US" w:eastAsia="zh-CN"/>
        </w:rPr>
        <w:t>北纬</w:t>
      </w:r>
      <w:r>
        <w:rPr>
          <w:rFonts w:hint="eastAsia" w:ascii="仿宋_GB2312" w:hAnsi="仿宋_GB2312" w:eastAsia="仿宋_GB2312" w:cs="仿宋_GB2312"/>
          <w:color w:val="auto"/>
          <w:kern w:val="0"/>
          <w:sz w:val="32"/>
          <w:szCs w:val="32"/>
        </w:rPr>
        <w:t>40°42′20.422″</w:t>
      </w:r>
      <w:r>
        <w:rPr>
          <w:rFonts w:hint="eastAsia" w:ascii="仿宋_GB2312" w:hAnsi="仿宋_GB2312" w:cs="仿宋_GB2312"/>
          <w:color w:val="auto"/>
          <w:kern w:val="0"/>
          <w:sz w:val="32"/>
          <w:szCs w:val="32"/>
          <w:lang w:eastAsia="zh-CN"/>
        </w:rPr>
        <w:t>。</w:t>
      </w:r>
      <w:r>
        <w:rPr>
          <w:rFonts w:hint="eastAsia" w:ascii="仿宋_GB2312" w:hAnsi="仿宋_GB2312" w:cs="仿宋_GB2312"/>
          <w:color w:val="auto"/>
          <w:kern w:val="0"/>
          <w:sz w:val="32"/>
          <w:szCs w:val="32"/>
          <w:lang w:val="en-US" w:eastAsia="zh-CN"/>
        </w:rPr>
        <w:t>项目总投资8000万元，其中环保投资240万元。项目建设勘探井4口，设计井深均为5700m，工程包含钻前工程、钻井工程、试油工程、封井工程等部分。根据《杭锦后旗扎格区块7号平台4口井勘探项目环境影响报告表》结论和意见，我分局同意建设，在建设过程中要严格执行环保“三同时”制度和落实环评报告表中提出的污染防治对策和措施，重点做好以下工作：</w:t>
      </w:r>
    </w:p>
    <w:p w14:paraId="79FDCA1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井场设置4台柴油发电机组（2用2备），使用轻质柴油为燃料，烟气通过设备自带的排气设备排放，符合《大气污染物综合排放标准》</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GB16297-1996</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中表2最高允许排放浓度限值。柴油罐</w:t>
      </w:r>
      <w:r>
        <w:rPr>
          <w:rFonts w:hint="default"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lang w:val="en-US" w:eastAsia="zh-CN"/>
        </w:rPr>
        <w:t>防腐贮罐，采用环密技术防止烃类泄漏及挥发；罐体设置切断系统，一旦发生事故紧急切断油源。储液罐采用卧式固定</w:t>
      </w:r>
      <w:r>
        <w:rPr>
          <w:rFonts w:hint="default" w:ascii="仿宋_GB2312" w:hAnsi="仿宋_GB2312" w:eastAsia="仿宋_GB2312" w:cs="仿宋_GB2312"/>
          <w:color w:val="000000"/>
          <w:kern w:val="0"/>
          <w:sz w:val="32"/>
          <w:szCs w:val="32"/>
          <w:lang w:val="en-US" w:eastAsia="zh-CN"/>
        </w:rPr>
        <w:t>防腐罐</w:t>
      </w:r>
      <w:r>
        <w:rPr>
          <w:rFonts w:hint="eastAsia" w:ascii="仿宋_GB2312" w:hAnsi="仿宋_GB2312" w:eastAsia="仿宋_GB2312" w:cs="仿宋_GB2312"/>
          <w:color w:val="000000"/>
          <w:kern w:val="0"/>
          <w:sz w:val="32"/>
          <w:szCs w:val="32"/>
          <w:lang w:val="en-US" w:eastAsia="zh-CN"/>
        </w:rPr>
        <w:t>，环密技术减少烃类挥发；采用密闭集输流程，井口、储液罐设置切断阀，可紧急切断油源</w:t>
      </w:r>
      <w:r>
        <w:rPr>
          <w:rFonts w:hint="default" w:ascii="仿宋_GB2312" w:hAnsi="仿宋_GB2312" w:eastAsia="仿宋_GB2312" w:cs="仿宋_GB2312"/>
          <w:color w:val="000000"/>
          <w:kern w:val="0"/>
          <w:sz w:val="32"/>
          <w:szCs w:val="32"/>
          <w:lang w:val="en-US" w:eastAsia="zh-CN"/>
        </w:rPr>
        <w:t>。装车过程采用密闭装车流程，储液</w:t>
      </w:r>
      <w:r>
        <w:rPr>
          <w:rFonts w:hint="eastAsia" w:ascii="仿宋_GB2312" w:hAnsi="仿宋_GB2312" w:eastAsia="仿宋_GB2312" w:cs="仿宋_GB2312"/>
          <w:color w:val="000000"/>
          <w:kern w:val="0"/>
          <w:sz w:val="32"/>
          <w:szCs w:val="32"/>
          <w:lang w:val="en-US" w:eastAsia="zh-CN"/>
        </w:rPr>
        <w:t>罐上安装简易装车</w:t>
      </w:r>
      <w:r>
        <w:rPr>
          <w:rFonts w:hint="default" w:ascii="仿宋_GB2312" w:hAnsi="仿宋_GB2312" w:eastAsia="仿宋_GB2312" w:cs="仿宋_GB2312"/>
          <w:color w:val="000000"/>
          <w:kern w:val="0"/>
          <w:sz w:val="32"/>
          <w:szCs w:val="32"/>
          <w:lang w:val="en-US" w:eastAsia="zh-CN"/>
        </w:rPr>
        <w:t>流程</w:t>
      </w:r>
      <w:r>
        <w:rPr>
          <w:rFonts w:hint="eastAsia" w:ascii="仿宋_GB2312" w:hAnsi="仿宋_GB2312" w:eastAsia="仿宋_GB2312" w:cs="仿宋_GB2312"/>
          <w:color w:val="000000"/>
          <w:kern w:val="0"/>
          <w:sz w:val="32"/>
          <w:szCs w:val="32"/>
          <w:lang w:val="en-US" w:eastAsia="zh-CN"/>
        </w:rPr>
        <w:t>，采用浸没式装车，采出液通过罐体上端的拉油鹤管输送到拉油罐车里，拉油鹤管出口一直延伸至罐车底部</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油罐车运输过程中油罐全程密闭，减少烃类气体的挥发</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井场场内废气符合《挥发性有机物无组织排放控制标准》（GB37822-2019）表A.1特别排放限值要求，厂界废气符合《陆上石油天然气开采工业大气污染物排放标准》（GB 39728-2020）企业边界污染物控制要求。试油阶段勘探井伴生气体采用火炬燃烧</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配套防回火与自动点火装置</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，燃烧废气由8m高排气筒排放。施工井场设置</w:t>
      </w:r>
      <w:r>
        <w:rPr>
          <w:rFonts w:hint="default" w:ascii="仿宋_GB2312" w:hAnsi="仿宋_GB2312" w:eastAsia="仿宋_GB2312" w:cs="仿宋_GB2312"/>
          <w:color w:val="000000"/>
          <w:kern w:val="0"/>
          <w:sz w:val="32"/>
          <w:szCs w:val="32"/>
          <w:lang w:val="en-US" w:eastAsia="zh-CN"/>
        </w:rPr>
        <w:t>2m高</w:t>
      </w:r>
      <w:r>
        <w:rPr>
          <w:rFonts w:hint="eastAsia" w:ascii="仿宋_GB2312" w:hAnsi="仿宋_GB2312" w:eastAsia="仿宋_GB2312" w:cs="仿宋_GB2312"/>
          <w:color w:val="000000"/>
          <w:kern w:val="0"/>
          <w:sz w:val="32"/>
          <w:szCs w:val="32"/>
          <w:lang w:val="en-US" w:eastAsia="zh-CN"/>
        </w:rPr>
        <w:t>围栏，井场及道路定期洒水抑尘。施工过程中的原材料堆存区上部设苫布遮盖，表土堆放区上覆盖密目网，调配</w:t>
      </w:r>
      <w:r>
        <w:rPr>
          <w:rFonts w:hint="default" w:ascii="仿宋_GB2312" w:hAnsi="仿宋_GB2312" w:eastAsia="仿宋_GB2312" w:cs="仿宋_GB2312"/>
          <w:color w:val="000000"/>
          <w:kern w:val="0"/>
          <w:sz w:val="32"/>
          <w:szCs w:val="32"/>
          <w:lang w:val="en-US" w:eastAsia="zh-CN"/>
        </w:rPr>
        <w:t>钻井泥浆</w:t>
      </w:r>
      <w:r>
        <w:rPr>
          <w:rFonts w:hint="eastAsia" w:ascii="仿宋_GB2312" w:hAnsi="仿宋_GB2312" w:eastAsia="仿宋_GB2312" w:cs="仿宋_GB2312"/>
          <w:color w:val="000000"/>
          <w:kern w:val="0"/>
          <w:sz w:val="32"/>
          <w:szCs w:val="32"/>
          <w:lang w:val="en-US" w:eastAsia="zh-CN"/>
        </w:rPr>
        <w:t>的</w:t>
      </w:r>
      <w:r>
        <w:rPr>
          <w:rFonts w:hint="default" w:ascii="仿宋_GB2312" w:hAnsi="仿宋_GB2312" w:eastAsia="仿宋_GB2312" w:cs="仿宋_GB2312"/>
          <w:color w:val="000000"/>
          <w:kern w:val="0"/>
          <w:sz w:val="32"/>
          <w:szCs w:val="32"/>
          <w:lang w:val="en-US" w:eastAsia="zh-CN"/>
        </w:rPr>
        <w:t>原料</w:t>
      </w:r>
      <w:r>
        <w:rPr>
          <w:rFonts w:hint="eastAsia" w:ascii="仿宋_GB2312" w:hAnsi="仿宋_GB2312" w:eastAsia="仿宋_GB2312" w:cs="仿宋_GB2312"/>
          <w:color w:val="000000"/>
          <w:kern w:val="0"/>
          <w:sz w:val="32"/>
          <w:szCs w:val="32"/>
          <w:lang w:val="en-US" w:eastAsia="zh-CN"/>
        </w:rPr>
        <w:t>均为袋装或桶装。厂界颗粒物符合《大气污染物综合排放标准》（GB16297-1996）表2无组织排放浓度限值。</w:t>
      </w:r>
    </w:p>
    <w:p w14:paraId="760D290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钻井过程中产生的废水随同废弃泥浆、岩屑收集至泥浆不落地循环系统装置旁的可移动废水罐（3×30m</w:t>
      </w:r>
      <w:r>
        <w:rPr>
          <w:rFonts w:hint="eastAsia" w:ascii="仿宋_GB2312" w:hAnsi="仿宋_GB2312" w:eastAsia="仿宋_GB2312" w:cs="仿宋_GB2312"/>
          <w:color w:val="000000"/>
          <w:kern w:val="0"/>
          <w:sz w:val="32"/>
          <w:szCs w:val="32"/>
          <w:vertAlign w:val="superscript"/>
          <w:lang w:val="en-US" w:eastAsia="zh-CN"/>
        </w:rPr>
        <w:t>3</w:t>
      </w:r>
      <w:r>
        <w:rPr>
          <w:rFonts w:hint="eastAsia" w:ascii="仿宋_GB2312" w:hAnsi="仿宋_GB2312" w:eastAsia="仿宋_GB2312" w:cs="仿宋_GB2312"/>
          <w:color w:val="000000"/>
          <w:kern w:val="0"/>
          <w:sz w:val="32"/>
          <w:szCs w:val="32"/>
          <w:lang w:val="en-US" w:eastAsia="zh-CN"/>
        </w:rPr>
        <w:t>）临时贮存，自然沉降后，上清液通过螺杆泵抽回到泥浆不落地循环系统继续使用，下部无法使用的废水随同废弃泥浆、岩屑定期拉运至废弃泥浆、岩屑处理单位处理。废水罐四周设置高度为20cm的围堰，铺设高密度聚乙烯防渗膜覆盖作为底层。井场设置移动环保防渗厕所，定期清掏。</w:t>
      </w:r>
    </w:p>
    <w:p w14:paraId="1A15641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生活垃圾设置生活垃圾桶，收集后拉运至环卫部门指定地点。钻井</w:t>
      </w:r>
      <w:r>
        <w:rPr>
          <w:rFonts w:hint="default" w:ascii="仿宋_GB2312" w:hAnsi="仿宋_GB2312" w:eastAsia="仿宋_GB2312" w:cs="仿宋_GB2312"/>
          <w:color w:val="000000"/>
          <w:kern w:val="0"/>
          <w:sz w:val="32"/>
          <w:szCs w:val="32"/>
          <w:lang w:val="en-US" w:eastAsia="zh-CN"/>
        </w:rPr>
        <w:t>产生的废弃</w:t>
      </w:r>
      <w:r>
        <w:rPr>
          <w:rFonts w:hint="eastAsia" w:ascii="仿宋_GB2312" w:hAnsi="仿宋_GB2312" w:eastAsia="仿宋_GB2312" w:cs="仿宋_GB2312"/>
          <w:color w:val="000000"/>
          <w:kern w:val="0"/>
          <w:sz w:val="32"/>
          <w:szCs w:val="32"/>
          <w:lang w:val="en-US" w:eastAsia="zh-CN"/>
        </w:rPr>
        <w:t>泥浆、岩屑</w:t>
      </w:r>
      <w:r>
        <w:rPr>
          <w:rFonts w:hint="default" w:ascii="仿宋_GB2312" w:hAnsi="仿宋_GB2312" w:eastAsia="仿宋_GB2312" w:cs="仿宋_GB2312"/>
          <w:color w:val="000000"/>
          <w:kern w:val="0"/>
          <w:sz w:val="32"/>
          <w:szCs w:val="32"/>
          <w:lang w:val="en-US" w:eastAsia="zh-CN"/>
        </w:rPr>
        <w:t>属于Ⅱ类一般工业固体废物，收</w:t>
      </w:r>
      <w:r>
        <w:rPr>
          <w:rFonts w:hint="eastAsia" w:ascii="仿宋_GB2312" w:hAnsi="仿宋_GB2312" w:eastAsia="仿宋_GB2312" w:cs="仿宋_GB2312"/>
          <w:color w:val="000000"/>
          <w:kern w:val="0"/>
          <w:sz w:val="32"/>
          <w:szCs w:val="32"/>
          <w:lang w:val="en-US" w:eastAsia="zh-CN"/>
        </w:rPr>
        <w:t>集至可移动废水罐临时贮存</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拉运至内蒙古众宁环保科技有限公司或杭锦后旗清泉环保科技有限公司处理，符合《一般工业固体废物贮存和填埋污染控制标准》（GB18599-2020）相关要求。落地油（事故状态下）、废润滑油、废防渗材料等收集后，暂存于危废暂存间，定期由内蒙古华宝固危废环境治理有限公司拉运处置，</w:t>
      </w:r>
      <w:r>
        <w:rPr>
          <w:rFonts w:hint="eastAsia" w:ascii="仿宋_GB2312" w:hAnsi="仿宋_GB2312" w:eastAsia="仿宋_GB2312" w:cs="仿宋_GB2312"/>
          <w:color w:val="000000"/>
          <w:kern w:val="0"/>
          <w:sz w:val="32"/>
          <w:szCs w:val="32"/>
        </w:rPr>
        <w:t>符合</w:t>
      </w:r>
      <w:r>
        <w:rPr>
          <w:rFonts w:hint="eastAsia" w:ascii="仿宋_GB2312" w:hAnsi="仿宋_GB2312" w:eastAsia="仿宋_GB2312" w:cs="仿宋_GB2312"/>
          <w:color w:val="000000"/>
          <w:kern w:val="0"/>
          <w:sz w:val="32"/>
          <w:szCs w:val="32"/>
          <w:lang w:val="en-US" w:eastAsia="zh-CN"/>
        </w:rPr>
        <w:t>《危险废物贮存污染控制标准》（GB18597-2023）相关要求。按照分区防</w:t>
      </w:r>
      <w:r>
        <w:rPr>
          <w:rFonts w:hint="eastAsia" w:ascii="仿宋_GB2312" w:hAnsi="仿宋_GB2312" w:eastAsia="仿宋_GB2312" w:cs="仿宋_GB2312"/>
          <w:color w:val="000000"/>
          <w:kern w:val="0"/>
          <w:sz w:val="32"/>
          <w:szCs w:val="32"/>
        </w:rPr>
        <w:t>控原则，做好重点防渗区、一般防渗区和简单防渗区的防渗工作</w:t>
      </w:r>
      <w:r>
        <w:rPr>
          <w:rFonts w:hint="eastAsia" w:ascii="仿宋_GB2312" w:hAnsi="仿宋_GB2312" w:eastAsia="仿宋_GB2312" w:cs="仿宋_GB2312"/>
          <w:color w:val="000000"/>
          <w:kern w:val="0"/>
          <w:sz w:val="32"/>
          <w:szCs w:val="32"/>
          <w:lang w:eastAsia="zh-CN"/>
        </w:rPr>
        <w:t>。</w:t>
      </w:r>
    </w:p>
    <w:p w14:paraId="577B511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钻井工程期间噪声符合《建筑施工噪声排放标准》（GB12523-2025）要求。</w:t>
      </w:r>
    </w:p>
    <w:p w14:paraId="0D6DFE4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勘探施工结束后</w:t>
      </w:r>
      <w:r>
        <w:rPr>
          <w:rFonts w:hint="eastAsia" w:ascii="仿宋_GB2312" w:hAnsi="仿宋_GB2312" w:eastAsia="仿宋_GB2312" w:cs="仿宋_GB2312"/>
          <w:color w:val="000000"/>
          <w:kern w:val="0"/>
          <w:sz w:val="32"/>
          <w:szCs w:val="32"/>
        </w:rPr>
        <w:t>要进行封井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井眼须覆盖密实，无水流、无油气</w:t>
      </w:r>
      <w:r>
        <w:rPr>
          <w:rFonts w:hint="eastAsia" w:ascii="仿宋_GB2312" w:hAnsi="仿宋_GB2312" w:cs="仿宋_GB2312"/>
          <w:color w:val="000000"/>
          <w:kern w:val="0"/>
          <w:sz w:val="32"/>
          <w:szCs w:val="32"/>
          <w:lang w:eastAsia="zh-CN"/>
        </w:rPr>
        <w:t>溢出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在井口位置</w:t>
      </w:r>
      <w:r>
        <w:rPr>
          <w:rFonts w:hint="eastAsia" w:ascii="仿宋_GB2312" w:hAnsi="仿宋_GB2312" w:cs="仿宋_GB2312"/>
          <w:color w:val="000000"/>
          <w:kern w:val="0"/>
          <w:sz w:val="32"/>
          <w:szCs w:val="32"/>
          <w:lang w:eastAsia="zh-CN"/>
        </w:rPr>
        <w:t>设置</w:t>
      </w:r>
      <w:r>
        <w:rPr>
          <w:rFonts w:hint="eastAsia" w:ascii="仿宋_GB2312" w:hAnsi="仿宋_GB2312" w:eastAsia="仿宋_GB2312" w:cs="仿宋_GB2312"/>
          <w:color w:val="000000"/>
          <w:kern w:val="0"/>
          <w:sz w:val="32"/>
          <w:szCs w:val="32"/>
        </w:rPr>
        <w:t>标记，注明该井的启用与封闭时间及使用单位等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封井回填土必须按次序分层覆土，最</w:t>
      </w:r>
      <w:bookmarkStart w:id="0" w:name="_GoBack"/>
      <w:bookmarkEnd w:id="0"/>
      <w:r>
        <w:rPr>
          <w:rFonts w:hint="eastAsia" w:ascii="仿宋_GB2312" w:hAnsi="仿宋_GB2312" w:eastAsia="仿宋_GB2312" w:cs="仿宋_GB2312"/>
          <w:color w:val="000000"/>
          <w:kern w:val="0"/>
          <w:sz w:val="32"/>
          <w:szCs w:val="32"/>
          <w:lang w:val="en-US" w:eastAsia="zh-CN"/>
        </w:rPr>
        <w:t>后将表层比较肥沃的土铺在最上层。同时减少水土流失，及时进行植被恢复等工作，最快使土壤得以恢复。</w:t>
      </w:r>
      <w:r>
        <w:rPr>
          <w:rFonts w:hint="eastAsia" w:ascii="仿宋_GB2312" w:hAnsi="仿宋_GB2312" w:eastAsia="仿宋_GB2312" w:cs="仿宋_GB2312"/>
          <w:color w:val="000000"/>
          <w:kern w:val="0"/>
          <w:sz w:val="32"/>
          <w:szCs w:val="32"/>
        </w:rPr>
        <w:t>若利用勘探井从事生产等活动，需另行履行环保手续</w:t>
      </w:r>
      <w:r>
        <w:rPr>
          <w:rFonts w:hint="eastAsia" w:ascii="仿宋_GB2312" w:hAnsi="仿宋_GB2312" w:eastAsia="仿宋_GB2312" w:cs="仿宋_GB2312"/>
          <w:color w:val="000000"/>
          <w:kern w:val="0"/>
          <w:sz w:val="32"/>
          <w:szCs w:val="32"/>
          <w:lang w:eastAsia="zh-CN"/>
        </w:rPr>
        <w:t>。</w:t>
      </w:r>
    </w:p>
    <w:p w14:paraId="30BC6890">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6.</w:t>
      </w:r>
      <w:r>
        <w:rPr>
          <w:rFonts w:hint="eastAsia" w:ascii="仿宋_GB2312" w:hAnsi="仿宋_GB2312" w:eastAsia="仿宋_GB2312" w:cs="仿宋_GB2312"/>
          <w:color w:val="000000"/>
          <w:kern w:val="0"/>
          <w:sz w:val="32"/>
          <w:szCs w:val="32"/>
          <w:lang w:val="en-US" w:eastAsia="zh-CN" w:bidi="ar-SA"/>
        </w:rPr>
        <w:t>项目建成按照规定程序完成项目竣工环境保护验收，验收合格后方可正式投产运行。建设和生产运行期间的环境现场监督管理由我分局负责</w:t>
      </w:r>
      <w:r>
        <w:rPr>
          <w:rFonts w:hint="eastAsia" w:ascii="仿宋_GB2312" w:hAnsi="仿宋_GB2312" w:cs="仿宋_GB2312"/>
          <w:color w:val="000000"/>
          <w:kern w:val="0"/>
          <w:sz w:val="32"/>
          <w:szCs w:val="32"/>
          <w:lang w:val="en-US" w:eastAsia="zh-CN" w:bidi="ar-SA"/>
        </w:rPr>
        <w:t>。</w:t>
      </w:r>
    </w:p>
    <w:p w14:paraId="26CF5CDA">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right"/>
        <w:rPr>
          <w:rFonts w:hint="eastAsia" w:ascii="仿宋_GB2312" w:hAnsi="仿宋_GB2312" w:eastAsia="仿宋_GB2312" w:cs="仿宋_GB2312"/>
          <w:color w:val="000000"/>
          <w:kern w:val="0"/>
          <w:sz w:val="32"/>
          <w:szCs w:val="32"/>
          <w:lang w:val="en-US" w:eastAsia="zh-CN" w:bidi="ar-SA"/>
        </w:rPr>
      </w:pPr>
    </w:p>
    <w:p w14:paraId="740272BA">
      <w:pPr>
        <w:rPr>
          <w:rFonts w:hint="eastAsia" w:ascii="仿宋_GB2312" w:hAnsi="仿宋_GB2312" w:eastAsia="仿宋_GB2312" w:cs="仿宋_GB2312"/>
          <w:color w:val="000000"/>
          <w:kern w:val="0"/>
          <w:sz w:val="32"/>
          <w:szCs w:val="32"/>
          <w:lang w:val="en-US" w:eastAsia="zh-CN" w:bidi="ar-SA"/>
        </w:rPr>
      </w:pPr>
    </w:p>
    <w:p w14:paraId="337E2502">
      <w:pPr>
        <w:pStyle w:val="2"/>
        <w:rPr>
          <w:rFonts w:hint="eastAsia"/>
          <w:lang w:val="en-US" w:eastAsia="zh-CN"/>
        </w:rPr>
      </w:pPr>
    </w:p>
    <w:p w14:paraId="37CEC289">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巴彦淖尔市生态环境局杭锦后旗分局</w:t>
      </w:r>
    </w:p>
    <w:p w14:paraId="7E4440E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 xml:space="preserve">               2026年2月11日</w:t>
      </w:r>
    </w:p>
    <w:p w14:paraId="39D02082">
      <w:pPr>
        <w:pStyle w:val="2"/>
        <w:rPr>
          <w:rFonts w:hint="eastAsia" w:ascii="仿宋_GB2312" w:hAnsi="仿宋_GB2312" w:cs="仿宋_GB2312"/>
          <w:color w:val="000000"/>
          <w:kern w:val="0"/>
          <w:sz w:val="32"/>
          <w:szCs w:val="32"/>
          <w:lang w:val="en-US" w:eastAsia="zh-CN" w:bidi="ar-SA"/>
        </w:rPr>
      </w:pPr>
    </w:p>
    <w:p w14:paraId="4EFBE28D">
      <w:pPr>
        <w:pStyle w:val="3"/>
        <w:rPr>
          <w:rFonts w:hint="eastAsia" w:ascii="仿宋_GB2312" w:hAnsi="仿宋_GB2312" w:cs="仿宋_GB2312"/>
          <w:color w:val="000000"/>
          <w:kern w:val="0"/>
          <w:sz w:val="32"/>
          <w:szCs w:val="32"/>
          <w:lang w:val="en-US" w:eastAsia="zh-CN" w:bidi="ar-SA"/>
        </w:rPr>
      </w:pPr>
    </w:p>
    <w:p w14:paraId="65E4EAF5">
      <w:pPr>
        <w:rPr>
          <w:rFonts w:hint="eastAsia" w:ascii="仿宋_GB2312" w:hAnsi="仿宋_GB2312" w:cs="仿宋_GB2312"/>
          <w:color w:val="000000"/>
          <w:kern w:val="0"/>
          <w:sz w:val="32"/>
          <w:szCs w:val="32"/>
          <w:lang w:val="en-US" w:eastAsia="zh-CN" w:bidi="ar-SA"/>
        </w:rPr>
      </w:pPr>
    </w:p>
    <w:p w14:paraId="29B19B3B">
      <w:pPr>
        <w:pStyle w:val="2"/>
        <w:rPr>
          <w:rFonts w:hint="eastAsia" w:ascii="仿宋_GB2312" w:hAnsi="仿宋_GB2312" w:cs="仿宋_GB2312"/>
          <w:color w:val="000000"/>
          <w:kern w:val="0"/>
          <w:sz w:val="32"/>
          <w:szCs w:val="32"/>
          <w:lang w:val="en-US" w:eastAsia="zh-CN" w:bidi="ar-SA"/>
        </w:rPr>
      </w:pPr>
    </w:p>
    <w:p w14:paraId="5E4D9F76">
      <w:pPr>
        <w:pStyle w:val="3"/>
        <w:rPr>
          <w:rFonts w:hint="eastAsia" w:ascii="仿宋_GB2312" w:hAnsi="仿宋_GB2312" w:cs="仿宋_GB2312"/>
          <w:color w:val="000000"/>
          <w:kern w:val="0"/>
          <w:sz w:val="32"/>
          <w:szCs w:val="32"/>
          <w:lang w:val="en-US" w:eastAsia="zh-CN" w:bidi="ar-SA"/>
        </w:rPr>
      </w:pPr>
    </w:p>
    <w:p w14:paraId="121EEDC4">
      <w:pPr>
        <w:rPr>
          <w:rFonts w:hint="eastAsia" w:ascii="仿宋_GB2312" w:hAnsi="仿宋_GB2312" w:cs="仿宋_GB2312"/>
          <w:color w:val="000000"/>
          <w:kern w:val="0"/>
          <w:sz w:val="32"/>
          <w:szCs w:val="32"/>
          <w:lang w:val="en-US" w:eastAsia="zh-CN" w:bidi="ar-SA"/>
        </w:rPr>
      </w:pPr>
    </w:p>
    <w:p w14:paraId="20473AE1">
      <w:pPr>
        <w:pStyle w:val="2"/>
        <w:rPr>
          <w:rFonts w:hint="eastAsia" w:ascii="仿宋_GB2312" w:hAnsi="仿宋_GB2312" w:cs="仿宋_GB2312"/>
          <w:color w:val="000000"/>
          <w:kern w:val="0"/>
          <w:sz w:val="44"/>
          <w:szCs w:val="44"/>
          <w:lang w:val="en-US" w:eastAsia="zh-CN" w:bidi="ar-SA"/>
        </w:rPr>
      </w:pPr>
    </w:p>
    <w:p w14:paraId="79594CE1">
      <w:pPr>
        <w:pStyle w:val="3"/>
        <w:rPr>
          <w:rFonts w:hint="eastAsia" w:ascii="仿宋_GB2312" w:hAnsi="仿宋_GB2312" w:cs="仿宋_GB2312"/>
          <w:color w:val="000000"/>
          <w:kern w:val="0"/>
          <w:sz w:val="32"/>
          <w:szCs w:val="32"/>
          <w:lang w:val="en-US" w:eastAsia="zh-CN" w:bidi="ar-SA"/>
        </w:rPr>
      </w:pPr>
    </w:p>
    <w:p w14:paraId="472B471C">
      <w:pPr>
        <w:rPr>
          <w:rFonts w:hint="eastAsia" w:ascii="仿宋_GB2312" w:hAnsi="仿宋_GB2312" w:cs="仿宋_GB2312"/>
          <w:color w:val="000000"/>
          <w:kern w:val="0"/>
          <w:sz w:val="32"/>
          <w:szCs w:val="32"/>
          <w:lang w:val="en-US" w:eastAsia="zh-CN" w:bidi="ar-SA"/>
        </w:rPr>
      </w:pPr>
    </w:p>
    <w:p w14:paraId="373B7BCB">
      <w:pPr>
        <w:pStyle w:val="2"/>
        <w:rPr>
          <w:rFonts w:hint="eastAsia" w:ascii="仿宋_GB2312" w:hAnsi="仿宋_GB2312" w:cs="仿宋_GB2312"/>
          <w:color w:val="000000"/>
          <w:kern w:val="0"/>
          <w:sz w:val="32"/>
          <w:szCs w:val="32"/>
          <w:lang w:val="en-US" w:eastAsia="zh-CN" w:bidi="ar-SA"/>
        </w:rPr>
      </w:pPr>
    </w:p>
    <w:p w14:paraId="34F55429">
      <w:pPr>
        <w:pStyle w:val="3"/>
        <w:rPr>
          <w:rFonts w:hint="eastAsia"/>
          <w:lang w:val="en-US" w:eastAsia="zh-CN"/>
        </w:rPr>
      </w:pPr>
    </w:p>
    <w:p w14:paraId="79DDA07B">
      <w:pPr>
        <w:keepNext w:val="0"/>
        <w:keepLines w:val="0"/>
        <w:pageBreakBefore w:val="0"/>
        <w:pBdr>
          <w:top w:val="single" w:color="auto" w:sz="6" w:space="1"/>
          <w:bottom w:val="single" w:color="auto" w:sz="6" w:space="1"/>
        </w:pBdr>
        <w:kinsoku/>
        <w:wordWrap w:val="0"/>
        <w:overflowPunct/>
        <w:topLinePunct w:val="0"/>
        <w:autoSpaceDE/>
        <w:autoSpaceDN/>
        <w:bidi w:val="0"/>
        <w:adjustRightInd/>
        <w:snapToGrid/>
        <w:spacing w:line="240" w:lineRule="auto"/>
        <w:jc w:val="center"/>
        <w:rPr>
          <w:rFonts w:hint="default"/>
          <w:lang w:val="en-US" w:eastAsia="zh-CN"/>
        </w:rPr>
      </w:pPr>
      <w:r>
        <w:rPr>
          <w:rFonts w:hint="eastAsia" w:ascii="仿宋_GB2312" w:hAnsi="仿宋_GB2312" w:eastAsia="仿宋_GB2312" w:cs="仿宋_GB2312"/>
          <w:color w:val="000000"/>
          <w:sz w:val="28"/>
          <w:szCs w:val="28"/>
          <w:lang w:val="en-US" w:eastAsia="zh-CN"/>
        </w:rPr>
        <w:t>巴彦淖尔市生态环境局杭锦后旗分局</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Garamond">
    <w:altName w:val="Menk Scnin Tig"/>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Menk Scnin Tig">
    <w:panose1 w:val="02000500000000000000"/>
    <w:charset w:val="00"/>
    <w:family w:val="auto"/>
    <w:pitch w:val="default"/>
    <w:sig w:usb0="A000029F" w:usb1="0049E44A" w:usb2="00020002"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mQ2NjkxOGI3YzlhNWQxYWY1ZDZhYjg5ZjA0MGQifQ=="/>
  </w:docVars>
  <w:rsids>
    <w:rsidRoot w:val="7DF051E5"/>
    <w:rsid w:val="05E97064"/>
    <w:rsid w:val="0A927F25"/>
    <w:rsid w:val="0D007BE0"/>
    <w:rsid w:val="0F697CA7"/>
    <w:rsid w:val="12FC5EFD"/>
    <w:rsid w:val="139A7BF0"/>
    <w:rsid w:val="150D568B"/>
    <w:rsid w:val="167C0416"/>
    <w:rsid w:val="18270E2D"/>
    <w:rsid w:val="18277594"/>
    <w:rsid w:val="1D4E16E7"/>
    <w:rsid w:val="2998070D"/>
    <w:rsid w:val="2A816FBC"/>
    <w:rsid w:val="38685317"/>
    <w:rsid w:val="45F12DF0"/>
    <w:rsid w:val="468F4DC7"/>
    <w:rsid w:val="4A3C4ECE"/>
    <w:rsid w:val="540F652A"/>
    <w:rsid w:val="557B48CA"/>
    <w:rsid w:val="69376C92"/>
    <w:rsid w:val="742B73BA"/>
    <w:rsid w:val="7599309B"/>
    <w:rsid w:val="76EE7BCE"/>
    <w:rsid w:val="7B8E43C9"/>
    <w:rsid w:val="7DF051E5"/>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6">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spacing w:line="480" w:lineRule="exact"/>
      <w:ind w:left="100" w:leftChars="2500"/>
    </w:pPr>
    <w:rPr>
      <w:rFonts w:eastAsia="宋体"/>
    </w:rPr>
  </w:style>
  <w:style w:type="paragraph" w:styleId="7">
    <w:name w:val="Body Text First Indent"/>
    <w:basedOn w:val="2"/>
    <w:next w:val="1"/>
    <w:qFormat/>
    <w:uiPriority w:val="99"/>
    <w:pPr>
      <w:adjustRightInd w:val="0"/>
      <w:spacing w:after="120" w:line="480" w:lineRule="atLeast"/>
      <w:ind w:left="420" w:firstLine="420" w:firstLineChars="100"/>
    </w:pPr>
    <w:rPr>
      <w:spacing w:val="-2"/>
      <w:sz w:val="28"/>
    </w:rPr>
  </w:style>
  <w:style w:type="paragraph" w:styleId="8">
    <w:name w:val="Body Text First Indent 2"/>
    <w:basedOn w:val="1"/>
    <w:next w:val="7"/>
    <w:qFormat/>
    <w:uiPriority w:val="0"/>
    <w:pPr>
      <w:keepNext w:val="0"/>
      <w:keepLines w:val="0"/>
      <w:widowControl w:val="0"/>
      <w:suppressLineNumbers w:val="0"/>
      <w:tabs>
        <w:tab w:val="left" w:pos="0"/>
      </w:tabs>
      <w:spacing w:after="120" w:afterAutospacing="0"/>
      <w:ind w:left="420" w:leftChars="200" w:firstLine="420" w:firstLineChars="200"/>
      <w:jc w:val="both"/>
    </w:pPr>
    <w:rPr>
      <w:rFonts w:hint="default" w:ascii="Garamond" w:hAnsi="Garamond" w:eastAsia="宋体" w:cs="黑体"/>
      <w:kern w:val="2"/>
      <w:sz w:val="24"/>
      <w:szCs w:val="24"/>
      <w:lang w:val="en-US" w:eastAsia="zh-CN" w:bidi="ar"/>
    </w:rPr>
  </w:style>
  <w:style w:type="paragraph" w:customStyle="1" w:styleId="1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e413d5eb-54c4-4219-b940-9594294c2c61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79FDCA1C</paraID>
      <start>0</start>
      <end>2</end>
      <status>modified</status>
      <modifiedWord>1.</modifiedWord>
      <trackRevisions>false</trackRevisions>
    </reviewItem>
    <reviewItem>
      <errorID>62d68019-d1d5-4407-8dbc-dfd1d2007124</errorID>
      <errorWord>(</errorWord>
      <group>L1_Format</group>
      <groupName>格式问题</groupName>
      <ability>L2_HalfPunc</ability>
      <abilityName>全半角检查</abilityName>
      <candidateList>
        <item>（</item>
      </candidateList>
      <explain>文本全半角错误。</explain>
      <paraID>79FDCA1C</paraID>
      <start>62</start>
      <end>63</end>
      <status>modified</status>
      <modifiedWord>（</modifiedWord>
      <trackRevisions>false</trackRevisions>
    </reviewItem>
    <reviewItem>
      <errorID>a2f98c64-9862-41e5-a0da-2dd664f9fed2</errorID>
      <errorWord>)</errorWord>
      <group>L1_Format</group>
      <groupName>格式问题</groupName>
      <ability>L2_HalfPunc</ability>
      <abilityName>全半角检查</abilityName>
      <candidateList>
        <item>）</item>
      </candidateList>
      <explain>文本全半角错误。</explain>
      <paraID>79FDCA1C</paraID>
      <start>75</start>
      <end>76</end>
      <status>modified</status>
      <modifiedWord>）</modifiedWord>
      <trackRevisions>false</trackRevisions>
    </reviewItem>
    <reviewItem>
      <errorID>3a9ae57e-e84d-4fb3-b07c-8c4a4d90f2b2</errorID>
      <errorWord>(</errorWord>
      <group>L1_Format</group>
      <groupName>格式问题</groupName>
      <ability>L2_HalfPunc</ability>
      <abilityName>全半角检查</abilityName>
      <candidateList>
        <item>（</item>
      </candidateList>
      <explain>文本全半角错误。</explain>
      <paraID>79FDCA1C</paraID>
      <start>412</start>
      <end>413</end>
      <status>modified</status>
      <modifiedWord>（</modifiedWord>
      <trackRevisions>false</trackRevisions>
    </reviewItem>
    <reviewItem>
      <errorID>4cd4b2ca-4ec3-40cb-a0f0-3f8f574a983a</errorID>
      <errorWord>)</errorWord>
      <group>L1_Format</group>
      <groupName>格式问题</groupName>
      <ability>L2_HalfPunc</ability>
      <abilityName>全半角检查</abilityName>
      <candidateList>
        <item>）</item>
      </candidateList>
      <explain>文本全半角错误。</explain>
      <paraID>79FDCA1C</paraID>
      <start>425</start>
      <end>426</end>
      <status>modified</status>
      <modifiedWord>）</modifiedWord>
      <trackRevisions>false</trackRevisions>
    </reviewItem>
    <reviewItem>
      <errorID>2454b391-bc8f-4467-a5b7-34c69b30e313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760D2905</paraID>
      <start>0</start>
      <end>2</end>
      <status>modified</status>
      <modifiedWord>2.</modifiedWord>
      <trackRevisions>false</trackRevisions>
    </reviewItem>
    <reviewItem>
      <errorID>c236c997-9354-41d7-aff6-51d3df791a44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1A156419</paraID>
      <start>0</start>
      <end>2</end>
      <status>modified</status>
      <modifiedWord>3.</modifiedWord>
      <trackRevisions>false</trackRevisions>
    </reviewItem>
    <reviewItem>
      <errorID>fe6340cb-5e67-4349-a8ec-182b3291e50a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577B5115</paraID>
      <start>0</start>
      <end>2</end>
      <status>modified</status>
      <modifiedWord>4.</modifiedWord>
      <trackRevisions>false</trackRevisions>
    </reviewItem>
    <reviewItem>
      <errorID>0aecac21-4a11-43fa-8bec-e55201873c26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D6DFE40</paraID>
      <start>0</start>
      <end>2</end>
      <status>modified</status>
      <modifiedWord>5.</modifiedWord>
      <trackRevisions>false</trackRevisions>
    </reviewItem>
    <reviewItem>
      <errorID>c7a404bf-312a-4963-a31d-6128275ab14e</errorID>
      <errorWord>逸出</errorWord>
      <group>L1_Word</group>
      <groupName>字词问题</groupName>
      <ability>L2_Typo</ability>
      <abilityName>字词错误</abilityName>
      <candidateList>
        <item>溢出</item>
      </candidateList>
      <explain/>
      <paraID> D6DFE40</paraID>
      <start>30</start>
      <end>32</end>
      <status>modified</status>
      <modifiedWord>溢出</modifiedWord>
      <trackRevisions>false</trackRevisions>
    </reviewItem>
    <reviewItem>
      <errorID>2bbbe260-9332-4c8d-a58e-a6673fc94f71</errorID>
      <errorWord>设</errorWord>
      <group>L1_Word</group>
      <groupName>字词问题</groupName>
      <ability>L2_Typo</ability>
      <abilityName>字词错误</abilityName>
      <candidateList>
        <item>设置</item>
      </candidateList>
      <explain>〈动〉❶设立：这座剧院是为儿童～的。❷安放；安装：～障碍。</explain>
      <paraID> D6DFE40</paraID>
      <start>38</start>
      <end>40</end>
      <status>modified</status>
      <modifiedWord>设置</modifiedWord>
      <trackRevisions>false</trackRevisions>
    </reviewItem>
    <reviewItem>
      <errorID>1007b593-d697-4bba-92a8-8c3af44ce2cf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30BC6890</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bb204154-0a9c-4a96-ae5a-8f8e40dbe51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1518</Words>
  <Characters>1640</Characters>
  <Lines>0</Lines>
  <Paragraphs>0</Paragraphs>
  <TotalTime>4</TotalTime>
  <ScaleCrop>false</ScaleCrop>
  <LinksUpToDate>false</LinksUpToDate>
  <CharactersWithSpaces>1676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2026-02-02T08:48:00Z</dcterms:created>
  <dc:creator>一朵唐糖棠</dc:creator>
  <cp:lastModifiedBy> 敏儿</cp:lastModifiedBy>
  <cp:lastPrinted>2026-02-05T01:25:00Z</cp:lastPrinted>
  <dcterms:modified xsi:type="dcterms:W3CDTF">2026-02-12T08:08:36Z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68ACCF7A9FE344E487D26AD8C8D44714</vt:lpwstr>
  </property>
  <property fmtid="{D5CDD505-2E9C-101B-9397-08002B2CF9AE}" pid="4" name="KSOTemplateDocerSaveRecord">
    <vt:lpwstr>eyJoZGlkIjoiMThmNWJlNzZiZDg1NTJkM2IyM2UzZTJlMGE4ZmM0MzkiLCJ1c2VySWQiOiI0NTQ4MDMxNzQifQ==</vt:lpwstr>
  </property>
</Properties>
</file>