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FA04C20">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6D20B01F">
      <w:pPr>
        <w:pStyle w:val="8"/>
        <w:keepNext w:val="0"/>
        <w:keepLines w:val="0"/>
        <w:pageBreakBefore w:val="0"/>
        <w:kinsoku/>
        <w:overflowPunct/>
        <w:topLinePunct w:val="0"/>
        <w:autoSpaceDE/>
        <w:autoSpaceDN/>
        <w:bidi w:val="0"/>
        <w:adjustRightInd/>
        <w:snapToGrid/>
        <w:spacing w:line="240" w:lineRule="auto"/>
        <w:rPr>
          <w:rFonts w:hint="eastAsia" w:ascii="仿宋_GB2312" w:hAnsi="仿宋_GB2312" w:eastAsia="仿宋_GB2312" w:cs="仿宋_GB2312"/>
          <w:sz w:val="32"/>
          <w:szCs w:val="32"/>
        </w:rPr>
      </w:pPr>
    </w:p>
    <w:p w14:paraId="7E79857A">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3D65761D">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2"/>
          <w:szCs w:val="32"/>
        </w:rPr>
      </w:pPr>
    </w:p>
    <w:p w14:paraId="53CD0884">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both"/>
        <w:rPr>
          <w:rFonts w:hint="eastAsia" w:ascii="仿宋_GB2312" w:hAnsi="仿宋_GB2312" w:eastAsia="仿宋_GB2312" w:cs="仿宋_GB2312"/>
          <w:sz w:val="32"/>
          <w:szCs w:val="32"/>
        </w:rPr>
      </w:pPr>
    </w:p>
    <w:p w14:paraId="4B756468">
      <w:pPr>
        <w:pStyle w:val="11"/>
        <w:rPr>
          <w:rFonts w:hint="eastAsia"/>
        </w:rPr>
      </w:pPr>
    </w:p>
    <w:p w14:paraId="2CC39173">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仿宋_GB2312" w:hAnsi="仿宋_GB2312" w:eastAsia="仿宋_GB2312" w:cs="仿宋_GB2312"/>
          <w:sz w:val="36"/>
          <w:szCs w:val="36"/>
        </w:rPr>
      </w:pPr>
    </w:p>
    <w:p w14:paraId="36C75904">
      <w:pPr>
        <w:keepNext w:val="0"/>
        <w:keepLines w:val="0"/>
        <w:pageBreakBefore w:val="0"/>
        <w:tabs>
          <w:tab w:val="left" w:pos="3150"/>
          <w:tab w:val="left" w:pos="4620"/>
        </w:tabs>
        <w:kinsoku/>
        <w:overflowPunct/>
        <w:topLinePunct w:val="0"/>
        <w:autoSpaceDE/>
        <w:autoSpaceDN/>
        <w:bidi w:val="0"/>
        <w:adjustRightInd/>
        <w:snapToGrid/>
        <w:spacing w:line="240" w:lineRule="auto"/>
        <w:ind w:right="-22"/>
        <w:jc w:val="center"/>
        <w:rPr>
          <w:rFonts w:hint="eastAsia" w:ascii="方正小标宋简体" w:hAnsi="方正小标宋简体" w:eastAsia="方正小标宋简体" w:cs="方正小标宋简体"/>
          <w:color w:val="auto"/>
          <w:sz w:val="44"/>
          <w:szCs w:val="44"/>
          <w:lang w:val="en-US" w:eastAsia="zh-CN"/>
        </w:rPr>
      </w:pPr>
      <w:r>
        <w:rPr>
          <w:rFonts w:hint="eastAsia" w:ascii="仿宋_GB2312" w:hAnsi="仿宋_GB2312" w:eastAsia="仿宋_GB2312" w:cs="仿宋_GB2312"/>
          <w:sz w:val="32"/>
          <w:szCs w:val="32"/>
        </w:rPr>
        <w:t>杭环审发〔20</w:t>
      </w:r>
      <w:r>
        <w:rPr>
          <w:rFonts w:hint="eastAsia" w:ascii="仿宋_GB2312" w:hAnsi="仿宋_GB2312" w:eastAsia="仿宋_GB2312" w:cs="仿宋_GB2312"/>
          <w:sz w:val="32"/>
          <w:szCs w:val="32"/>
          <w:lang w:val="en-US" w:eastAsia="zh-CN"/>
        </w:rPr>
        <w:t>2</w:t>
      </w:r>
      <w:r>
        <w:rPr>
          <w:rFonts w:hint="eastAsia" w:ascii="仿宋_GB2312" w:hAnsi="仿宋_GB2312" w:cs="仿宋_GB2312"/>
          <w:sz w:val="32"/>
          <w:szCs w:val="32"/>
          <w:lang w:val="en-US" w:eastAsia="zh-CN"/>
        </w:rPr>
        <w:t>6</w:t>
      </w:r>
      <w:r>
        <w:rPr>
          <w:rFonts w:hint="eastAsia" w:ascii="仿宋_GB2312" w:hAnsi="仿宋_GB2312" w:eastAsia="仿宋_GB2312" w:cs="仿宋_GB2312"/>
          <w:sz w:val="32"/>
          <w:szCs w:val="32"/>
        </w:rPr>
        <w:t>〕</w:t>
      </w:r>
      <w:r>
        <w:rPr>
          <w:rFonts w:hint="eastAsia" w:ascii="仿宋_GB2312" w:hAnsi="仿宋_GB2312" w:cs="仿宋_GB2312"/>
          <w:sz w:val="32"/>
          <w:szCs w:val="32"/>
          <w:lang w:val="en-US" w:eastAsia="zh-CN"/>
        </w:rPr>
        <w:t>2</w:t>
      </w:r>
      <w:r>
        <w:rPr>
          <w:rFonts w:hint="eastAsia" w:ascii="仿宋_GB2312" w:hAnsi="仿宋_GB2312" w:eastAsia="仿宋_GB2312" w:cs="仿宋_GB2312"/>
          <w:sz w:val="32"/>
          <w:szCs w:val="32"/>
        </w:rPr>
        <w:t>号</w:t>
      </w:r>
    </w:p>
    <w:p w14:paraId="2D834124">
      <w:pPr>
        <w:pStyle w:val="8"/>
        <w:keepNext w:val="0"/>
        <w:keepLines w:val="0"/>
        <w:pageBreakBefore w:val="0"/>
        <w:kinsoku/>
        <w:overflowPunct/>
        <w:topLinePunct w:val="0"/>
        <w:autoSpaceDE/>
        <w:autoSpaceDN/>
        <w:bidi w:val="0"/>
        <w:adjustRightInd/>
        <w:snapToGrid/>
        <w:spacing w:line="240" w:lineRule="auto"/>
        <w:ind w:left="0" w:leftChars="0" w:firstLine="0" w:firstLineChars="0"/>
        <w:rPr>
          <w:rFonts w:hint="eastAsia"/>
          <w:sz w:val="10"/>
          <w:szCs w:val="10"/>
        </w:rPr>
      </w:pPr>
    </w:p>
    <w:p w14:paraId="4E646A7B">
      <w:pPr>
        <w:keepNext w:val="0"/>
        <w:keepLines w:val="0"/>
        <w:pageBreakBefore w:val="0"/>
        <w:kinsoku/>
        <w:wordWrap/>
        <w:overflowPunct/>
        <w:topLinePunct w:val="0"/>
        <w:autoSpaceDE/>
        <w:autoSpaceDN/>
        <w:bidi w:val="0"/>
        <w:adjustRightInd/>
        <w:snapToGrid/>
        <w:spacing w:line="560" w:lineRule="exact"/>
        <w:jc w:val="center"/>
        <w:rPr>
          <w:rFonts w:hint="eastAsia" w:ascii="方正小标宋简体" w:hAnsi="方正小标宋简体" w:eastAsia="方正小标宋简体" w:cs="方正小标宋简体"/>
          <w:color w:val="auto"/>
          <w:sz w:val="44"/>
          <w:szCs w:val="44"/>
          <w:highlight w:val="none"/>
          <w:lang w:val="en-US" w:eastAsia="zh-CN"/>
        </w:rPr>
      </w:pPr>
      <w:r>
        <w:rPr>
          <w:rFonts w:hint="eastAsia" w:ascii="方正小标宋简体" w:hAnsi="方正小标宋简体" w:eastAsia="方正小标宋简体" w:cs="方正小标宋简体"/>
          <w:b w:val="0"/>
          <w:bCs w:val="0"/>
          <w:color w:val="auto"/>
          <w:sz w:val="44"/>
          <w:szCs w:val="44"/>
          <w:highlight w:val="none"/>
          <w:lang w:val="en-US" w:eastAsia="zh-CN"/>
        </w:rPr>
        <w:t>关于对《杭锦后旗</w:t>
      </w:r>
      <w:r>
        <w:rPr>
          <w:rFonts w:hint="eastAsia" w:ascii="方正小标宋简体" w:hAnsi="方正小标宋简体" w:eastAsia="方正小标宋简体" w:cs="方正小标宋简体"/>
          <w:sz w:val="44"/>
          <w:szCs w:val="44"/>
          <w:lang w:eastAsia="zh-CN"/>
        </w:rPr>
        <w:t>扎格区块2号平台4</w:t>
      </w:r>
      <w:r>
        <w:rPr>
          <w:rFonts w:hint="eastAsia" w:ascii="方正小标宋简体" w:hAnsi="方正小标宋简体" w:eastAsia="方正小标宋简体" w:cs="方正小标宋简体"/>
          <w:b w:val="0"/>
          <w:bCs w:val="0"/>
          <w:color w:val="auto"/>
          <w:sz w:val="44"/>
          <w:szCs w:val="44"/>
          <w:highlight w:val="none"/>
          <w:lang w:val="en-US" w:eastAsia="zh-CN"/>
        </w:rPr>
        <w:t>口井勘探项目环境影响报告表》的批复</w:t>
      </w:r>
    </w:p>
    <w:p w14:paraId="3B4FD219">
      <w:pPr>
        <w:pStyle w:val="11"/>
        <w:rPr>
          <w:rFonts w:hint="eastAsia"/>
          <w:lang w:val="en-US" w:eastAsia="zh-CN"/>
        </w:rPr>
      </w:pPr>
    </w:p>
    <w:p w14:paraId="427A9EAA">
      <w:pPr>
        <w:keepNext w:val="0"/>
        <w:keepLines w:val="0"/>
        <w:pageBreakBefore w:val="0"/>
        <w:widowControl w:val="0"/>
        <w:kinsoku/>
        <w:wordWrap/>
        <w:overflowPunct/>
        <w:topLinePunct/>
        <w:autoSpaceDE/>
        <w:autoSpaceDN/>
        <w:bidi w:val="0"/>
        <w:adjustRightInd/>
        <w:snapToGrid/>
        <w:spacing w:line="560" w:lineRule="exact"/>
        <w:textAlignment w:val="auto"/>
        <w:rPr>
          <w:rFonts w:hint="eastAsia" w:ascii="仿宋_GB2312" w:hAnsi="仿宋_GB2312" w:cs="仿宋_GB2312"/>
          <w:color w:val="auto"/>
          <w:sz w:val="32"/>
          <w:szCs w:val="32"/>
          <w:highlight w:val="none"/>
          <w:lang w:val="en-US" w:eastAsia="zh-CN"/>
        </w:rPr>
      </w:pPr>
      <w:r>
        <w:rPr>
          <w:rFonts w:hint="eastAsia" w:ascii="仿宋_GB2312" w:hAnsi="仿宋_GB2312" w:cs="仿宋_GB2312"/>
          <w:color w:val="auto"/>
          <w:sz w:val="32"/>
          <w:szCs w:val="32"/>
          <w:highlight w:val="none"/>
          <w:lang w:val="en-US" w:eastAsia="zh-CN"/>
        </w:rPr>
        <w:t>中国石油天然气股份有限公司华北油田巴彦勘探开发分公司：</w:t>
      </w:r>
    </w:p>
    <w:p w14:paraId="3A003CC0">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cs="仿宋_GB2312"/>
          <w:color w:val="auto"/>
          <w:kern w:val="0"/>
          <w:sz w:val="32"/>
          <w:szCs w:val="32"/>
          <w:lang w:val="en-US" w:eastAsia="zh-CN"/>
        </w:rPr>
      </w:pPr>
      <w:r>
        <w:rPr>
          <w:rFonts w:hint="eastAsia" w:ascii="仿宋_GB2312" w:hAnsi="仿宋_GB2312" w:cs="仿宋_GB2312"/>
          <w:color w:val="auto"/>
          <w:sz w:val="32"/>
          <w:szCs w:val="32"/>
          <w:highlight w:val="none"/>
          <w:lang w:val="en-US" w:eastAsia="zh-CN"/>
        </w:rPr>
        <w:t>你公司拟实施杭锦后旗扎格区块2号平台4口井勘探项目位于</w:t>
      </w:r>
      <w:r>
        <w:rPr>
          <w:rFonts w:hint="eastAsia" w:ascii="仿宋_GB2312" w:hAnsi="仿宋_GB2312" w:eastAsia="仿宋_GB2312" w:cs="仿宋_GB2312"/>
          <w:color w:val="auto"/>
          <w:sz w:val="32"/>
          <w:szCs w:val="32"/>
          <w:highlight w:val="none"/>
        </w:rPr>
        <w:t>杭锦后旗</w:t>
      </w:r>
      <w:r>
        <w:rPr>
          <w:rFonts w:hint="eastAsia" w:ascii="仿宋_GB2312" w:hAnsi="仿宋_GB2312" w:eastAsia="仿宋_GB2312" w:cs="仿宋_GB2312"/>
          <w:color w:val="auto"/>
          <w:sz w:val="32"/>
          <w:szCs w:val="32"/>
          <w:highlight w:val="none"/>
          <w:lang w:eastAsia="zh-CN"/>
        </w:rPr>
        <w:t>头道桥镇挪一村九社东南700m</w:t>
      </w:r>
      <w:r>
        <w:rPr>
          <w:rFonts w:hint="eastAsia" w:ascii="仿宋_GB2312" w:hAnsi="仿宋_GB2312" w:eastAsia="仿宋_GB2312" w:cs="仿宋_GB2312"/>
          <w:color w:val="auto"/>
          <w:sz w:val="32"/>
          <w:szCs w:val="32"/>
          <w:highlight w:val="none"/>
        </w:rPr>
        <w:t>，井场中心地理坐标</w:t>
      </w:r>
      <w:r>
        <w:rPr>
          <w:rFonts w:hint="eastAsia" w:ascii="仿宋_GB2312" w:hAnsi="仿宋_GB2312" w:cs="仿宋_GB2312"/>
          <w:color w:val="auto"/>
          <w:sz w:val="32"/>
          <w:szCs w:val="32"/>
          <w:highlight w:val="none"/>
          <w:lang w:val="en-US" w:eastAsia="zh-CN"/>
        </w:rPr>
        <w:t>为东经</w:t>
      </w:r>
      <w:r>
        <w:rPr>
          <w:rFonts w:hint="eastAsia" w:ascii="仿宋_GB2312" w:hAnsi="仿宋_GB2312" w:eastAsia="仿宋_GB2312" w:cs="仿宋_GB2312"/>
          <w:color w:val="auto"/>
          <w:kern w:val="0"/>
          <w:sz w:val="32"/>
          <w:szCs w:val="32"/>
        </w:rPr>
        <w:t>107°2′</w:t>
      </w:r>
      <w:r>
        <w:rPr>
          <w:rFonts w:hint="eastAsia" w:ascii="仿宋_GB2312" w:hAnsi="仿宋_GB2312" w:eastAsia="仿宋_GB2312" w:cs="仿宋_GB2312"/>
          <w:color w:val="auto"/>
          <w:kern w:val="0"/>
          <w:sz w:val="32"/>
          <w:szCs w:val="32"/>
          <w:lang w:val="en-US" w:eastAsia="zh-CN"/>
        </w:rPr>
        <w:t>35.641</w:t>
      </w:r>
      <w:r>
        <w:rPr>
          <w:rFonts w:hint="eastAsia" w:ascii="仿宋_GB2312" w:hAnsi="仿宋_GB2312" w:eastAsia="仿宋_GB2312" w:cs="仿宋_GB2312"/>
          <w:color w:val="auto"/>
          <w:kern w:val="0"/>
          <w:sz w:val="32"/>
          <w:szCs w:val="32"/>
        </w:rPr>
        <w:t>″，</w:t>
      </w:r>
      <w:r>
        <w:rPr>
          <w:rFonts w:hint="eastAsia" w:ascii="仿宋_GB2312" w:hAnsi="仿宋_GB2312" w:cs="仿宋_GB2312"/>
          <w:color w:val="auto"/>
          <w:kern w:val="0"/>
          <w:sz w:val="32"/>
          <w:szCs w:val="32"/>
          <w:lang w:val="en-US" w:eastAsia="zh-CN"/>
        </w:rPr>
        <w:t>北纬</w:t>
      </w:r>
      <w:r>
        <w:rPr>
          <w:rFonts w:hint="eastAsia" w:ascii="仿宋_GB2312" w:hAnsi="仿宋_GB2312" w:eastAsia="仿宋_GB2312" w:cs="仿宋_GB2312"/>
          <w:color w:val="auto"/>
          <w:kern w:val="0"/>
          <w:sz w:val="32"/>
          <w:szCs w:val="32"/>
        </w:rPr>
        <w:t>40°4</w:t>
      </w:r>
      <w:r>
        <w:rPr>
          <w:rFonts w:hint="eastAsia" w:ascii="仿宋_GB2312" w:hAnsi="仿宋_GB2312" w:eastAsia="仿宋_GB2312" w:cs="仿宋_GB2312"/>
          <w:color w:val="auto"/>
          <w:kern w:val="0"/>
          <w:sz w:val="32"/>
          <w:szCs w:val="32"/>
          <w:lang w:val="en-US" w:eastAsia="zh-CN"/>
        </w:rPr>
        <w:t>0</w:t>
      </w:r>
      <w:r>
        <w:rPr>
          <w:rFonts w:hint="eastAsia" w:ascii="仿宋_GB2312" w:hAnsi="仿宋_GB2312" w:eastAsia="仿宋_GB2312" w:cs="仿宋_GB2312"/>
          <w:color w:val="auto"/>
          <w:kern w:val="0"/>
          <w:sz w:val="32"/>
          <w:szCs w:val="32"/>
        </w:rPr>
        <w:t>′</w:t>
      </w:r>
      <w:r>
        <w:rPr>
          <w:rFonts w:hint="eastAsia" w:ascii="仿宋_GB2312" w:hAnsi="仿宋_GB2312" w:eastAsia="仿宋_GB2312" w:cs="仿宋_GB2312"/>
          <w:color w:val="auto"/>
          <w:kern w:val="0"/>
          <w:sz w:val="32"/>
          <w:szCs w:val="32"/>
          <w:lang w:val="en-US" w:eastAsia="zh-CN"/>
        </w:rPr>
        <w:t>32.429</w:t>
      </w:r>
      <w:r>
        <w:rPr>
          <w:rFonts w:hint="eastAsia" w:ascii="仿宋_GB2312" w:hAnsi="仿宋_GB2312" w:eastAsia="仿宋_GB2312" w:cs="仿宋_GB2312"/>
          <w:color w:val="auto"/>
          <w:kern w:val="0"/>
          <w:sz w:val="32"/>
          <w:szCs w:val="32"/>
        </w:rPr>
        <w:t>″</w:t>
      </w:r>
      <w:r>
        <w:rPr>
          <w:rFonts w:hint="eastAsia" w:ascii="仿宋_GB2312" w:hAnsi="仿宋_GB2312" w:cs="仿宋_GB2312"/>
          <w:color w:val="auto"/>
          <w:kern w:val="0"/>
          <w:sz w:val="32"/>
          <w:szCs w:val="32"/>
          <w:lang w:eastAsia="zh-CN"/>
        </w:rPr>
        <w:t>。</w:t>
      </w:r>
      <w:r>
        <w:rPr>
          <w:rFonts w:hint="eastAsia" w:ascii="仿宋_GB2312" w:hAnsi="仿宋_GB2312" w:cs="仿宋_GB2312"/>
          <w:color w:val="auto"/>
          <w:kern w:val="0"/>
          <w:sz w:val="32"/>
          <w:szCs w:val="32"/>
          <w:lang w:val="en-US" w:eastAsia="zh-CN"/>
        </w:rPr>
        <w:t>项目总投资7500万元，其中环保投资225万元。项目建设勘探井4口，设计井深均为5700m，工程包含钻前工程、钻井工程、试油工程、封井工程等部分。根据《杭锦后旗扎格区块2号平台4口井勘探项目环境影响报告表》结论和意见，我分局同意建设，在建设过程中要严格执行环保“三同时”制度和落实环评报告表中提出的污染防治对策和措施，重点做好以下工作：</w:t>
      </w:r>
    </w:p>
    <w:p w14:paraId="29AA7A24">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1.</w:t>
      </w:r>
      <w:r>
        <w:rPr>
          <w:rFonts w:hint="eastAsia" w:ascii="仿宋_GB2312" w:hAnsi="仿宋_GB2312" w:eastAsia="仿宋_GB2312" w:cs="仿宋_GB2312"/>
          <w:color w:val="000000"/>
          <w:kern w:val="0"/>
          <w:sz w:val="32"/>
          <w:szCs w:val="32"/>
          <w:lang w:val="en-US" w:eastAsia="zh-CN"/>
        </w:rPr>
        <w:t>井场设置4台柴油发电机组（2用2备），使用轻质柴油为燃料，烟气通过设备自带的排气设备排放，符合《大气污染物综合排放标准》</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GB16297-1996</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中表2最高允许排放浓度限值。柴油罐</w:t>
      </w:r>
      <w:r>
        <w:rPr>
          <w:rFonts w:hint="default" w:ascii="仿宋_GB2312" w:hAnsi="仿宋_GB2312" w:eastAsia="仿宋_GB2312" w:cs="仿宋_GB2312"/>
          <w:color w:val="000000"/>
          <w:kern w:val="0"/>
          <w:sz w:val="32"/>
          <w:szCs w:val="32"/>
          <w:lang w:val="en-US" w:eastAsia="zh-CN"/>
        </w:rPr>
        <w:t>为</w:t>
      </w:r>
      <w:r>
        <w:rPr>
          <w:rFonts w:hint="eastAsia" w:ascii="仿宋_GB2312" w:hAnsi="仿宋_GB2312" w:eastAsia="仿宋_GB2312" w:cs="仿宋_GB2312"/>
          <w:color w:val="000000"/>
          <w:kern w:val="0"/>
          <w:sz w:val="32"/>
          <w:szCs w:val="32"/>
          <w:lang w:val="en-US" w:eastAsia="zh-CN"/>
        </w:rPr>
        <w:t>防腐贮罐，采用环密技术防止烃类泄漏及挥发；罐体设置切断系统，一旦发生事故紧急切断油源。储液罐采用卧式固定</w:t>
      </w:r>
      <w:r>
        <w:rPr>
          <w:rFonts w:hint="default" w:ascii="仿宋_GB2312" w:hAnsi="仿宋_GB2312" w:eastAsia="仿宋_GB2312" w:cs="仿宋_GB2312"/>
          <w:color w:val="000000"/>
          <w:kern w:val="0"/>
          <w:sz w:val="32"/>
          <w:szCs w:val="32"/>
          <w:lang w:val="en-US" w:eastAsia="zh-CN"/>
        </w:rPr>
        <w:t>防腐罐</w:t>
      </w:r>
      <w:r>
        <w:rPr>
          <w:rFonts w:hint="eastAsia" w:ascii="仿宋_GB2312" w:hAnsi="仿宋_GB2312" w:eastAsia="仿宋_GB2312" w:cs="仿宋_GB2312"/>
          <w:color w:val="000000"/>
          <w:kern w:val="0"/>
          <w:sz w:val="32"/>
          <w:szCs w:val="32"/>
          <w:lang w:val="en-US" w:eastAsia="zh-CN"/>
        </w:rPr>
        <w:t>，环密技术减少烃类挥发；采用密闭集输流程，井口、储液罐设置切断阀，可紧急切断油源</w:t>
      </w:r>
      <w:r>
        <w:rPr>
          <w:rFonts w:hint="default" w:ascii="仿宋_GB2312" w:hAnsi="仿宋_GB2312" w:eastAsia="仿宋_GB2312" w:cs="仿宋_GB2312"/>
          <w:color w:val="000000"/>
          <w:kern w:val="0"/>
          <w:sz w:val="32"/>
          <w:szCs w:val="32"/>
          <w:lang w:val="en-US" w:eastAsia="zh-CN"/>
        </w:rPr>
        <w:t>。装车过程采用密闭装车流程，储液</w:t>
      </w:r>
      <w:r>
        <w:rPr>
          <w:rFonts w:hint="eastAsia" w:ascii="仿宋_GB2312" w:hAnsi="仿宋_GB2312" w:eastAsia="仿宋_GB2312" w:cs="仿宋_GB2312"/>
          <w:color w:val="000000"/>
          <w:kern w:val="0"/>
          <w:sz w:val="32"/>
          <w:szCs w:val="32"/>
          <w:lang w:val="en-US" w:eastAsia="zh-CN"/>
        </w:rPr>
        <w:t>罐上安装简易装车</w:t>
      </w:r>
      <w:r>
        <w:rPr>
          <w:rFonts w:hint="default" w:ascii="仿宋_GB2312" w:hAnsi="仿宋_GB2312" w:eastAsia="仿宋_GB2312" w:cs="仿宋_GB2312"/>
          <w:color w:val="000000"/>
          <w:kern w:val="0"/>
          <w:sz w:val="32"/>
          <w:szCs w:val="32"/>
          <w:lang w:val="en-US" w:eastAsia="zh-CN"/>
        </w:rPr>
        <w:t>流程</w:t>
      </w:r>
      <w:r>
        <w:rPr>
          <w:rFonts w:hint="eastAsia" w:ascii="仿宋_GB2312" w:hAnsi="仿宋_GB2312" w:eastAsia="仿宋_GB2312" w:cs="仿宋_GB2312"/>
          <w:color w:val="000000"/>
          <w:kern w:val="0"/>
          <w:sz w:val="32"/>
          <w:szCs w:val="32"/>
          <w:lang w:val="en-US" w:eastAsia="zh-CN"/>
        </w:rPr>
        <w:t>，采用浸没式装车，采出液通过罐体上端的拉油鹤管输送到拉油罐车里，拉油鹤管出口一直延伸至罐车底部</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油罐车运输过程中油罐全程密闭，减少烃类气体的挥发</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井场场内废气符合《挥发性有机物无组织排放控制标准》（GB37822-2019）表A.1特别排放限值要求，厂界废气符合《陆上石油天然气开采工业大气污染物排放标准》（GB 39728-2020）企业边界污染物控制要求。试油阶段勘探井伴生气体采用火炬燃烧</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配套防回火与自动点火装置</w:t>
      </w:r>
      <w:r>
        <w:rPr>
          <w:rFonts w:hint="eastAsia" w:ascii="仿宋_GB2312" w:hAnsi="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，燃烧废气由8m高排气筒排放。施工井场设置</w:t>
      </w:r>
      <w:r>
        <w:rPr>
          <w:rFonts w:hint="default" w:ascii="仿宋_GB2312" w:hAnsi="仿宋_GB2312" w:eastAsia="仿宋_GB2312" w:cs="仿宋_GB2312"/>
          <w:color w:val="000000"/>
          <w:kern w:val="0"/>
          <w:sz w:val="32"/>
          <w:szCs w:val="32"/>
          <w:lang w:val="en-US" w:eastAsia="zh-CN"/>
        </w:rPr>
        <w:t>2m高</w:t>
      </w:r>
      <w:r>
        <w:rPr>
          <w:rFonts w:hint="eastAsia" w:ascii="仿宋_GB2312" w:hAnsi="仿宋_GB2312" w:eastAsia="仿宋_GB2312" w:cs="仿宋_GB2312"/>
          <w:color w:val="000000"/>
          <w:kern w:val="0"/>
          <w:sz w:val="32"/>
          <w:szCs w:val="32"/>
          <w:lang w:val="en-US" w:eastAsia="zh-CN"/>
        </w:rPr>
        <w:t>围栏，井场及道路定期洒水抑尘。施工过程中的原材料堆存区上部设苫布遮盖，表土堆放区上覆盖密目网，调配</w:t>
      </w:r>
      <w:r>
        <w:rPr>
          <w:rFonts w:hint="default" w:ascii="仿宋_GB2312" w:hAnsi="仿宋_GB2312" w:eastAsia="仿宋_GB2312" w:cs="仿宋_GB2312"/>
          <w:color w:val="000000"/>
          <w:kern w:val="0"/>
          <w:sz w:val="32"/>
          <w:szCs w:val="32"/>
          <w:lang w:val="en-US" w:eastAsia="zh-CN"/>
        </w:rPr>
        <w:t>钻井泥浆</w:t>
      </w:r>
      <w:r>
        <w:rPr>
          <w:rFonts w:hint="eastAsia" w:ascii="仿宋_GB2312" w:hAnsi="仿宋_GB2312" w:eastAsia="仿宋_GB2312" w:cs="仿宋_GB2312"/>
          <w:color w:val="000000"/>
          <w:kern w:val="0"/>
          <w:sz w:val="32"/>
          <w:szCs w:val="32"/>
          <w:lang w:val="en-US" w:eastAsia="zh-CN"/>
        </w:rPr>
        <w:t>的</w:t>
      </w:r>
      <w:r>
        <w:rPr>
          <w:rFonts w:hint="default" w:ascii="仿宋_GB2312" w:hAnsi="仿宋_GB2312" w:eastAsia="仿宋_GB2312" w:cs="仿宋_GB2312"/>
          <w:color w:val="000000"/>
          <w:kern w:val="0"/>
          <w:sz w:val="32"/>
          <w:szCs w:val="32"/>
          <w:lang w:val="en-US" w:eastAsia="zh-CN"/>
        </w:rPr>
        <w:t>原料</w:t>
      </w:r>
      <w:r>
        <w:rPr>
          <w:rFonts w:hint="eastAsia" w:ascii="仿宋_GB2312" w:hAnsi="仿宋_GB2312" w:eastAsia="仿宋_GB2312" w:cs="仿宋_GB2312"/>
          <w:color w:val="000000"/>
          <w:kern w:val="0"/>
          <w:sz w:val="32"/>
          <w:szCs w:val="32"/>
          <w:lang w:val="en-US" w:eastAsia="zh-CN"/>
        </w:rPr>
        <w:t>均为袋装或桶装。厂界颗粒物符合《大气污染物综合排放标准》（GB16297-1996）表2无组织排放浓度限值。</w:t>
      </w:r>
    </w:p>
    <w:p w14:paraId="4047294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2.</w:t>
      </w:r>
      <w:r>
        <w:rPr>
          <w:rFonts w:hint="eastAsia" w:ascii="仿宋_GB2312" w:hAnsi="仿宋_GB2312" w:eastAsia="仿宋_GB2312" w:cs="仿宋_GB2312"/>
          <w:color w:val="000000"/>
          <w:kern w:val="0"/>
          <w:sz w:val="32"/>
          <w:szCs w:val="32"/>
          <w:lang w:val="en-US" w:eastAsia="zh-CN"/>
        </w:rPr>
        <w:t>钻井过程中产生的废水随同废弃泥浆、岩屑收集至泥浆不落地循环系统装置旁的可移动废水罐（3×30m</w:t>
      </w:r>
      <w:r>
        <w:rPr>
          <w:rFonts w:hint="eastAsia" w:ascii="仿宋_GB2312" w:hAnsi="仿宋_GB2312" w:eastAsia="仿宋_GB2312" w:cs="仿宋_GB2312"/>
          <w:color w:val="000000"/>
          <w:kern w:val="0"/>
          <w:sz w:val="32"/>
          <w:szCs w:val="32"/>
          <w:vertAlign w:val="superscript"/>
          <w:lang w:val="en-US" w:eastAsia="zh-CN"/>
        </w:rPr>
        <w:t>3</w:t>
      </w:r>
      <w:r>
        <w:rPr>
          <w:rFonts w:hint="eastAsia" w:ascii="仿宋_GB2312" w:hAnsi="仿宋_GB2312" w:eastAsia="仿宋_GB2312" w:cs="仿宋_GB2312"/>
          <w:color w:val="000000"/>
          <w:kern w:val="0"/>
          <w:sz w:val="32"/>
          <w:szCs w:val="32"/>
          <w:lang w:val="en-US" w:eastAsia="zh-CN"/>
        </w:rPr>
        <w:t>）临时贮存，自然沉降后，上清液通过螺杆泵抽回到泥浆不落地循环系统继续使用，下部无法使用的废水随同废弃泥浆、岩屑定期拉运至废弃泥浆、岩屑处理单位处理。废水罐四周设置高度为20cm的围堰，铺设高密度聚乙烯防渗膜覆盖作为底层。井场设置移动环保防渗厕所，定期清掏。</w:t>
      </w:r>
    </w:p>
    <w:p w14:paraId="27824A01">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lang w:val="en-US" w:eastAsia="zh-CN"/>
        </w:rPr>
      </w:pPr>
      <w:r>
        <w:rPr>
          <w:rFonts w:hint="eastAsia" w:ascii="仿宋_GB2312" w:hAnsi="仿宋_GB2312" w:cs="仿宋_GB2312"/>
          <w:color w:val="000000"/>
          <w:kern w:val="0"/>
          <w:sz w:val="32"/>
          <w:szCs w:val="32"/>
          <w:lang w:val="en-US" w:eastAsia="zh-CN"/>
        </w:rPr>
        <w:t>3.</w:t>
      </w:r>
      <w:r>
        <w:rPr>
          <w:rFonts w:hint="eastAsia" w:ascii="仿宋_GB2312" w:hAnsi="仿宋_GB2312" w:eastAsia="仿宋_GB2312" w:cs="仿宋_GB2312"/>
          <w:color w:val="000000"/>
          <w:kern w:val="0"/>
          <w:sz w:val="32"/>
          <w:szCs w:val="32"/>
          <w:lang w:val="en-US" w:eastAsia="zh-CN"/>
        </w:rPr>
        <w:t>生活垃圾设置生活垃圾桶，收集后拉运至环卫部门指定地点。钻井</w:t>
      </w:r>
      <w:r>
        <w:rPr>
          <w:rFonts w:hint="default" w:ascii="仿宋_GB2312" w:hAnsi="仿宋_GB2312" w:eastAsia="仿宋_GB2312" w:cs="仿宋_GB2312"/>
          <w:color w:val="000000"/>
          <w:kern w:val="0"/>
          <w:sz w:val="32"/>
          <w:szCs w:val="32"/>
          <w:lang w:val="en-US" w:eastAsia="zh-CN"/>
        </w:rPr>
        <w:t>产生的废弃</w:t>
      </w:r>
      <w:r>
        <w:rPr>
          <w:rFonts w:hint="eastAsia" w:ascii="仿宋_GB2312" w:hAnsi="仿宋_GB2312" w:eastAsia="仿宋_GB2312" w:cs="仿宋_GB2312"/>
          <w:color w:val="000000"/>
          <w:kern w:val="0"/>
          <w:sz w:val="32"/>
          <w:szCs w:val="32"/>
          <w:lang w:val="en-US" w:eastAsia="zh-CN"/>
        </w:rPr>
        <w:t>泥浆、岩屑</w:t>
      </w:r>
      <w:r>
        <w:rPr>
          <w:rFonts w:hint="default" w:ascii="仿宋_GB2312" w:hAnsi="仿宋_GB2312" w:eastAsia="仿宋_GB2312" w:cs="仿宋_GB2312"/>
          <w:color w:val="000000"/>
          <w:kern w:val="0"/>
          <w:sz w:val="32"/>
          <w:szCs w:val="32"/>
          <w:lang w:val="en-US" w:eastAsia="zh-CN"/>
        </w:rPr>
        <w:t>属于Ⅱ类一般工业固体废物，收</w:t>
      </w:r>
      <w:r>
        <w:rPr>
          <w:rFonts w:hint="eastAsia" w:ascii="仿宋_GB2312" w:hAnsi="仿宋_GB2312" w:eastAsia="仿宋_GB2312" w:cs="仿宋_GB2312"/>
          <w:color w:val="000000"/>
          <w:kern w:val="0"/>
          <w:sz w:val="32"/>
          <w:szCs w:val="32"/>
          <w:lang w:val="en-US" w:eastAsia="zh-CN"/>
        </w:rPr>
        <w:t>集至可移动废水罐临时贮存</w:t>
      </w:r>
      <w:r>
        <w:rPr>
          <w:rFonts w:hint="default" w:ascii="仿宋_GB2312" w:hAnsi="仿宋_GB2312" w:eastAsia="仿宋_GB2312" w:cs="仿宋_GB2312"/>
          <w:color w:val="000000"/>
          <w:kern w:val="0"/>
          <w:sz w:val="32"/>
          <w:szCs w:val="32"/>
          <w:lang w:val="en-US" w:eastAsia="zh-CN"/>
        </w:rPr>
        <w:t>，</w:t>
      </w:r>
      <w:r>
        <w:rPr>
          <w:rFonts w:hint="eastAsia" w:ascii="仿宋_GB2312" w:hAnsi="仿宋_GB2312" w:eastAsia="仿宋_GB2312" w:cs="仿宋_GB2312"/>
          <w:color w:val="000000"/>
          <w:kern w:val="0"/>
          <w:sz w:val="32"/>
          <w:szCs w:val="32"/>
          <w:lang w:val="en-US" w:eastAsia="zh-CN"/>
        </w:rPr>
        <w:t>拉运至内蒙古众宁环保科技有限公司或杭锦后旗清泉环保科技有限公司处理，符合《一般工业固体废物贮存和填埋污染控制标准》（GB18599-2020）相关要求。落地油（事故状态下）、废润滑油、废防渗材料等收集后，暂存于危废暂存间，定期由内蒙古华宝固危废环境治理有限公司拉运处置，</w:t>
      </w:r>
      <w:r>
        <w:rPr>
          <w:rFonts w:hint="eastAsia" w:ascii="仿宋_GB2312" w:hAnsi="仿宋_GB2312" w:eastAsia="仿宋_GB2312" w:cs="仿宋_GB2312"/>
          <w:color w:val="000000"/>
          <w:kern w:val="0"/>
          <w:sz w:val="32"/>
          <w:szCs w:val="32"/>
        </w:rPr>
        <w:t>符合</w:t>
      </w:r>
      <w:r>
        <w:rPr>
          <w:rFonts w:hint="eastAsia" w:ascii="仿宋_GB2312" w:hAnsi="仿宋_GB2312" w:eastAsia="仿宋_GB2312" w:cs="仿宋_GB2312"/>
          <w:color w:val="000000"/>
          <w:kern w:val="0"/>
          <w:sz w:val="32"/>
          <w:szCs w:val="32"/>
          <w:lang w:val="en-US" w:eastAsia="zh-CN"/>
        </w:rPr>
        <w:t>《危险废物贮存污染控制标准》（GB18597-2023）相关要求。按照分区防</w:t>
      </w:r>
      <w:r>
        <w:rPr>
          <w:rFonts w:hint="eastAsia" w:ascii="仿宋_GB2312" w:hAnsi="仿宋_GB2312" w:eastAsia="仿宋_GB2312" w:cs="仿宋_GB2312"/>
          <w:color w:val="000000"/>
          <w:kern w:val="0"/>
          <w:sz w:val="32"/>
          <w:szCs w:val="32"/>
        </w:rPr>
        <w:t>控原则，做好重点防渗区、一般防渗区和简单防渗区的防渗工作</w:t>
      </w:r>
      <w:r>
        <w:rPr>
          <w:rFonts w:hint="eastAsia" w:ascii="仿宋_GB2312" w:hAnsi="仿宋_GB2312" w:eastAsia="仿宋_GB2312" w:cs="仿宋_GB2312"/>
          <w:color w:val="000000"/>
          <w:kern w:val="0"/>
          <w:sz w:val="32"/>
          <w:szCs w:val="32"/>
          <w:lang w:eastAsia="zh-CN"/>
        </w:rPr>
        <w:t>。</w:t>
      </w:r>
    </w:p>
    <w:p w14:paraId="31B179E5">
      <w:pPr>
        <w:keepNext w:val="0"/>
        <w:keepLines w:val="0"/>
        <w:pageBreakBefore w:val="0"/>
        <w:widowControl/>
        <w:kinsoku/>
        <w:wordWrap/>
        <w:overflowPunct/>
        <w:topLinePunct w:val="0"/>
        <w:autoSpaceDE/>
        <w:autoSpaceDN/>
        <w:bidi w:val="0"/>
        <w:adjustRightInd/>
        <w:snapToGrid/>
        <w:spacing w:line="560" w:lineRule="exact"/>
        <w:ind w:firstLine="640" w:firstLineChars="200"/>
        <w:jc w:val="both"/>
        <w:textAlignment w:val="center"/>
        <w:rPr>
          <w:rFonts w:hint="eastAsia" w:ascii="仿宋_GB2312" w:hAnsi="仿宋_GB2312" w:eastAsia="仿宋_GB2312" w:cs="仿宋_GB2312"/>
          <w:color w:val="000000"/>
          <w:kern w:val="0"/>
          <w:sz w:val="32"/>
          <w:szCs w:val="32"/>
        </w:rPr>
      </w:pPr>
      <w:r>
        <w:rPr>
          <w:rFonts w:hint="eastAsia" w:ascii="仿宋_GB2312" w:hAnsi="仿宋_GB2312" w:cs="仿宋_GB2312"/>
          <w:color w:val="000000"/>
          <w:kern w:val="0"/>
          <w:sz w:val="32"/>
          <w:szCs w:val="32"/>
          <w:lang w:val="en-US" w:eastAsia="zh-CN"/>
        </w:rPr>
        <w:t>4.</w:t>
      </w:r>
      <w:r>
        <w:rPr>
          <w:rFonts w:hint="eastAsia" w:ascii="仿宋_GB2312" w:hAnsi="仿宋_GB2312" w:eastAsia="仿宋_GB2312" w:cs="仿宋_GB2312"/>
          <w:color w:val="000000"/>
          <w:kern w:val="0"/>
          <w:sz w:val="32"/>
          <w:szCs w:val="32"/>
        </w:rPr>
        <w:t>钻井工程期间噪声符合《建筑施工噪声排放标准》（GB12523-2025）要求。</w:t>
      </w:r>
    </w:p>
    <w:p w14:paraId="44646158">
      <w:pPr>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eastAsia="zh-CN"/>
        </w:rPr>
      </w:pPr>
      <w:r>
        <w:rPr>
          <w:rFonts w:hint="eastAsia" w:ascii="仿宋_GB2312" w:hAnsi="仿宋_GB2312" w:cs="仿宋_GB2312"/>
          <w:color w:val="000000"/>
          <w:kern w:val="0"/>
          <w:sz w:val="32"/>
          <w:szCs w:val="32"/>
          <w:lang w:val="en-US" w:eastAsia="zh-CN"/>
        </w:rPr>
        <w:t>5.</w:t>
      </w:r>
      <w:r>
        <w:rPr>
          <w:rFonts w:hint="eastAsia" w:ascii="仿宋_GB2312" w:hAnsi="仿宋_GB2312" w:eastAsia="仿宋_GB2312" w:cs="仿宋_GB2312"/>
          <w:color w:val="000000"/>
          <w:kern w:val="0"/>
          <w:sz w:val="32"/>
          <w:szCs w:val="32"/>
          <w:lang w:val="en-US" w:eastAsia="zh-CN"/>
        </w:rPr>
        <w:t>勘探施工结束后</w:t>
      </w:r>
      <w:r>
        <w:rPr>
          <w:rFonts w:hint="eastAsia" w:ascii="仿宋_GB2312" w:hAnsi="仿宋_GB2312" w:eastAsia="仿宋_GB2312" w:cs="仿宋_GB2312"/>
          <w:color w:val="000000"/>
          <w:kern w:val="0"/>
          <w:sz w:val="32"/>
          <w:szCs w:val="32"/>
        </w:rPr>
        <w:t>要进行封井</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井眼须覆盖密实，无水流、无油气</w:t>
      </w:r>
      <w:r>
        <w:rPr>
          <w:rFonts w:hint="eastAsia" w:ascii="仿宋_GB2312" w:hAnsi="仿宋_GB2312" w:cs="仿宋_GB2312"/>
          <w:color w:val="000000"/>
          <w:kern w:val="0"/>
          <w:sz w:val="32"/>
          <w:szCs w:val="32"/>
          <w:lang w:eastAsia="zh-CN"/>
        </w:rPr>
        <w:t>溢出</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rPr>
        <w:t>在井口位置</w:t>
      </w:r>
      <w:r>
        <w:rPr>
          <w:rFonts w:hint="eastAsia" w:ascii="仿宋_GB2312" w:hAnsi="仿宋_GB2312" w:cs="仿宋_GB2312"/>
          <w:color w:val="000000"/>
          <w:kern w:val="0"/>
          <w:sz w:val="32"/>
          <w:szCs w:val="32"/>
          <w:lang w:eastAsia="zh-CN"/>
        </w:rPr>
        <w:t>设置</w:t>
      </w:r>
      <w:r>
        <w:rPr>
          <w:rFonts w:hint="eastAsia" w:ascii="仿宋_GB2312" w:hAnsi="仿宋_GB2312" w:eastAsia="仿宋_GB2312" w:cs="仿宋_GB2312"/>
          <w:color w:val="000000"/>
          <w:kern w:val="0"/>
          <w:sz w:val="32"/>
          <w:szCs w:val="32"/>
        </w:rPr>
        <w:t>标记，注明该井的启用与封闭时间及使用单位等</w:t>
      </w:r>
      <w:r>
        <w:rPr>
          <w:rFonts w:hint="eastAsia" w:ascii="仿宋_GB2312" w:hAnsi="仿宋_GB2312" w:eastAsia="仿宋_GB2312" w:cs="仿宋_GB2312"/>
          <w:color w:val="000000"/>
          <w:kern w:val="0"/>
          <w:sz w:val="32"/>
          <w:szCs w:val="32"/>
          <w:lang w:eastAsia="zh-CN"/>
        </w:rPr>
        <w:t>。</w:t>
      </w:r>
      <w:r>
        <w:rPr>
          <w:rFonts w:hint="eastAsia" w:ascii="仿宋_GB2312" w:hAnsi="仿宋_GB2312" w:eastAsia="仿宋_GB2312" w:cs="仿宋_GB2312"/>
          <w:color w:val="000000"/>
          <w:kern w:val="0"/>
          <w:sz w:val="32"/>
          <w:szCs w:val="32"/>
          <w:lang w:val="en-US" w:eastAsia="zh-CN"/>
        </w:rPr>
        <w:t>封井回填土必须按次序分层覆土，最后将表层比较肥沃的土铺在最上层。同时减少水土流失，及时进行植被恢复等工作，最快使土壤得以恢复。</w:t>
      </w:r>
      <w:r>
        <w:rPr>
          <w:rFonts w:hint="eastAsia" w:ascii="仿宋_GB2312" w:hAnsi="仿宋_GB2312" w:eastAsia="仿宋_GB2312" w:cs="仿宋_GB2312"/>
          <w:color w:val="000000"/>
          <w:kern w:val="0"/>
          <w:sz w:val="32"/>
          <w:szCs w:val="32"/>
        </w:rPr>
        <w:t>若利用勘探井从事生产等活动，需另行履行环保手续</w:t>
      </w:r>
      <w:r>
        <w:rPr>
          <w:rFonts w:hint="eastAsia" w:ascii="仿宋_GB2312" w:hAnsi="仿宋_GB2312" w:eastAsia="仿宋_GB2312" w:cs="仿宋_GB2312"/>
          <w:color w:val="000000"/>
          <w:kern w:val="0"/>
          <w:sz w:val="32"/>
          <w:szCs w:val="32"/>
          <w:lang w:eastAsia="zh-CN"/>
        </w:rPr>
        <w:t>。</w:t>
      </w:r>
    </w:p>
    <w:p w14:paraId="272FC42E">
      <w:pPr>
        <w:pStyle w:val="2"/>
        <w:keepNext w:val="0"/>
        <w:keepLines w:val="0"/>
        <w:pageBreakBefore w:val="0"/>
        <w:kinsoku/>
        <w:wordWrap/>
        <w:overflowPunct/>
        <w:topLinePunct w:val="0"/>
        <w:autoSpaceDE/>
        <w:autoSpaceDN/>
        <w:bidi w:val="0"/>
        <w:adjustRightInd/>
        <w:snapToGrid/>
        <w:spacing w:line="560" w:lineRule="exact"/>
        <w:ind w:firstLine="640" w:firstLineChars="200"/>
        <w:rPr>
          <w:rFonts w:hint="eastAsia" w:ascii="仿宋_GB2312" w:hAnsi="仿宋_GB2312" w:eastAsia="仿宋_GB2312" w:cs="仿宋_GB2312"/>
          <w:color w:val="000000"/>
          <w:kern w:val="0"/>
          <w:sz w:val="32"/>
          <w:szCs w:val="32"/>
          <w:lang w:val="en-US" w:eastAsia="zh-CN" w:bidi="ar-SA"/>
        </w:rPr>
      </w:pPr>
      <w:bookmarkStart w:id="0" w:name="_GoBack"/>
      <w:r>
        <w:rPr>
          <w:rFonts w:hint="eastAsia" w:ascii="仿宋_GB2312" w:hAnsi="仿宋_GB2312" w:cs="仿宋_GB2312"/>
          <w:color w:val="000000"/>
          <w:kern w:val="0"/>
          <w:sz w:val="32"/>
          <w:szCs w:val="32"/>
          <w:lang w:val="en-US" w:eastAsia="zh-CN" w:bidi="ar-SA"/>
        </w:rPr>
        <w:t>6.</w:t>
      </w:r>
      <w:bookmarkEnd w:id="0"/>
      <w:r>
        <w:rPr>
          <w:rFonts w:hint="eastAsia" w:ascii="仿宋_GB2312" w:hAnsi="仿宋_GB2312" w:eastAsia="仿宋_GB2312" w:cs="仿宋_GB2312"/>
          <w:color w:val="000000"/>
          <w:kern w:val="0"/>
          <w:sz w:val="32"/>
          <w:szCs w:val="32"/>
          <w:lang w:val="en-US" w:eastAsia="zh-CN" w:bidi="ar-SA"/>
        </w:rPr>
        <w:t>项目建成按照规定程序完成项目竣工环境保护验收，验收合格后方可正式投产运行。建设和生产运行期间的环境现场监督管理由我分局负责</w:t>
      </w:r>
      <w:r>
        <w:rPr>
          <w:rFonts w:hint="eastAsia" w:ascii="仿宋_GB2312" w:hAnsi="仿宋_GB2312" w:cs="仿宋_GB2312"/>
          <w:color w:val="000000"/>
          <w:kern w:val="0"/>
          <w:sz w:val="32"/>
          <w:szCs w:val="32"/>
          <w:lang w:val="en-US" w:eastAsia="zh-CN" w:bidi="ar-SA"/>
        </w:rPr>
        <w:t>。</w:t>
      </w:r>
    </w:p>
    <w:p w14:paraId="123A9B6F">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right"/>
        <w:rPr>
          <w:rFonts w:hint="eastAsia" w:ascii="仿宋_GB2312" w:hAnsi="仿宋_GB2312" w:eastAsia="仿宋_GB2312" w:cs="仿宋_GB2312"/>
          <w:color w:val="000000"/>
          <w:kern w:val="0"/>
          <w:sz w:val="32"/>
          <w:szCs w:val="32"/>
          <w:lang w:val="en-US" w:eastAsia="zh-CN" w:bidi="ar-SA"/>
        </w:rPr>
      </w:pPr>
    </w:p>
    <w:p w14:paraId="255304BA">
      <w:pPr>
        <w:rPr>
          <w:rFonts w:hint="eastAsia" w:ascii="仿宋_GB2312" w:hAnsi="仿宋_GB2312" w:eastAsia="仿宋_GB2312" w:cs="仿宋_GB2312"/>
          <w:color w:val="000000"/>
          <w:kern w:val="0"/>
          <w:sz w:val="32"/>
          <w:szCs w:val="32"/>
          <w:lang w:val="en-US" w:eastAsia="zh-CN" w:bidi="ar-SA"/>
        </w:rPr>
      </w:pPr>
    </w:p>
    <w:p w14:paraId="7FF03D5A">
      <w:pPr>
        <w:pStyle w:val="2"/>
        <w:rPr>
          <w:rFonts w:hint="eastAsia"/>
          <w:lang w:val="en-US" w:eastAsia="zh-CN"/>
        </w:rPr>
      </w:pPr>
    </w:p>
    <w:p w14:paraId="7044764A">
      <w:pPr>
        <w:pStyle w:val="3"/>
        <w:keepNext w:val="0"/>
        <w:keepLines w:val="0"/>
        <w:pageBreakBefore w:val="0"/>
        <w:kinsoku/>
        <w:wordWrap/>
        <w:overflowPunct/>
        <w:topLinePunct w:val="0"/>
        <w:autoSpaceDE/>
        <w:autoSpaceDN/>
        <w:bidi w:val="0"/>
        <w:adjustRightInd/>
        <w:snapToGrid/>
        <w:spacing w:line="560" w:lineRule="exact"/>
        <w:ind w:left="0" w:leftChars="0" w:firstLine="0" w:firstLineChars="0"/>
        <w:jc w:val="center"/>
        <w:rPr>
          <w:rFonts w:hint="eastAsia" w:ascii="仿宋_GB2312" w:hAnsi="仿宋_GB2312" w:eastAsia="仿宋_GB2312" w:cs="仿宋_GB2312"/>
          <w:color w:val="000000"/>
          <w:kern w:val="0"/>
          <w:sz w:val="32"/>
          <w:szCs w:val="32"/>
          <w:lang w:val="en-US" w:eastAsia="zh-CN" w:bidi="ar-SA"/>
        </w:rPr>
      </w:pPr>
      <w:r>
        <w:rPr>
          <w:rFonts w:hint="eastAsia" w:ascii="仿宋_GB2312" w:hAnsi="仿宋_GB2312" w:eastAsia="仿宋_GB2312" w:cs="仿宋_GB2312"/>
          <w:color w:val="000000"/>
          <w:kern w:val="0"/>
          <w:sz w:val="32"/>
          <w:szCs w:val="32"/>
          <w:lang w:val="en-US" w:eastAsia="zh-CN" w:bidi="ar-SA"/>
        </w:rPr>
        <w:t xml:space="preserve">             巴彦淖尔市生态环境局杭锦后旗分局</w:t>
      </w:r>
    </w:p>
    <w:p w14:paraId="23245554">
      <w:pPr>
        <w:keepNext w:val="0"/>
        <w:keepLines w:val="0"/>
        <w:pageBreakBefore w:val="0"/>
        <w:kinsoku/>
        <w:wordWrap/>
        <w:overflowPunct/>
        <w:topLinePunct w:val="0"/>
        <w:autoSpaceDE/>
        <w:autoSpaceDN/>
        <w:bidi w:val="0"/>
        <w:adjustRightInd/>
        <w:snapToGrid/>
        <w:spacing w:line="560" w:lineRule="exact"/>
        <w:jc w:val="center"/>
        <w:rPr>
          <w:rFonts w:hint="eastAsia" w:ascii="仿宋_GB2312" w:hAnsi="仿宋_GB2312" w:cs="仿宋_GB2312"/>
          <w:color w:val="000000"/>
          <w:kern w:val="0"/>
          <w:sz w:val="32"/>
          <w:szCs w:val="32"/>
          <w:lang w:val="en-US" w:eastAsia="zh-CN" w:bidi="ar-SA"/>
        </w:rPr>
      </w:pPr>
      <w:r>
        <w:rPr>
          <w:rFonts w:hint="eastAsia" w:ascii="仿宋_GB2312" w:hAnsi="仿宋_GB2312" w:cs="仿宋_GB2312"/>
          <w:color w:val="000000"/>
          <w:kern w:val="0"/>
          <w:sz w:val="32"/>
          <w:szCs w:val="32"/>
          <w:lang w:val="en-US" w:eastAsia="zh-CN" w:bidi="ar-SA"/>
        </w:rPr>
        <w:t xml:space="preserve">             2026年2月11日</w:t>
      </w:r>
    </w:p>
    <w:p w14:paraId="5597FF72">
      <w:pPr>
        <w:pStyle w:val="2"/>
        <w:rPr>
          <w:rFonts w:hint="eastAsia" w:ascii="仿宋_GB2312" w:hAnsi="仿宋_GB2312" w:cs="仿宋_GB2312"/>
          <w:color w:val="000000"/>
          <w:kern w:val="0"/>
          <w:sz w:val="32"/>
          <w:szCs w:val="32"/>
          <w:lang w:val="en-US" w:eastAsia="zh-CN" w:bidi="ar-SA"/>
        </w:rPr>
      </w:pPr>
    </w:p>
    <w:p w14:paraId="18137960">
      <w:pPr>
        <w:pStyle w:val="3"/>
        <w:rPr>
          <w:rFonts w:hint="eastAsia" w:ascii="仿宋_GB2312" w:hAnsi="仿宋_GB2312" w:cs="仿宋_GB2312"/>
          <w:color w:val="000000"/>
          <w:kern w:val="0"/>
          <w:sz w:val="32"/>
          <w:szCs w:val="32"/>
          <w:lang w:val="en-US" w:eastAsia="zh-CN" w:bidi="ar-SA"/>
        </w:rPr>
      </w:pPr>
    </w:p>
    <w:p w14:paraId="6D844FAA">
      <w:pPr>
        <w:rPr>
          <w:rFonts w:hint="eastAsia" w:ascii="仿宋_GB2312" w:hAnsi="仿宋_GB2312" w:cs="仿宋_GB2312"/>
          <w:color w:val="000000"/>
          <w:kern w:val="0"/>
          <w:sz w:val="32"/>
          <w:szCs w:val="32"/>
          <w:lang w:val="en-US" w:eastAsia="zh-CN" w:bidi="ar-SA"/>
        </w:rPr>
      </w:pPr>
    </w:p>
    <w:p w14:paraId="67F6A1E3">
      <w:pPr>
        <w:pStyle w:val="2"/>
        <w:rPr>
          <w:rFonts w:hint="eastAsia" w:ascii="仿宋_GB2312" w:hAnsi="仿宋_GB2312" w:cs="仿宋_GB2312"/>
          <w:color w:val="000000"/>
          <w:kern w:val="0"/>
          <w:sz w:val="32"/>
          <w:szCs w:val="32"/>
          <w:lang w:val="en-US" w:eastAsia="zh-CN" w:bidi="ar-SA"/>
        </w:rPr>
      </w:pPr>
    </w:p>
    <w:p w14:paraId="362C0836">
      <w:pPr>
        <w:pStyle w:val="3"/>
        <w:rPr>
          <w:rFonts w:hint="eastAsia" w:ascii="仿宋_GB2312" w:hAnsi="仿宋_GB2312" w:cs="仿宋_GB2312"/>
          <w:color w:val="000000"/>
          <w:kern w:val="0"/>
          <w:sz w:val="32"/>
          <w:szCs w:val="32"/>
          <w:lang w:val="en-US" w:eastAsia="zh-CN" w:bidi="ar-SA"/>
        </w:rPr>
      </w:pPr>
    </w:p>
    <w:p w14:paraId="2A3FB5EB">
      <w:pPr>
        <w:rPr>
          <w:rFonts w:hint="eastAsia" w:ascii="仿宋_GB2312" w:hAnsi="仿宋_GB2312" w:cs="仿宋_GB2312"/>
          <w:color w:val="000000"/>
          <w:kern w:val="0"/>
          <w:sz w:val="32"/>
          <w:szCs w:val="32"/>
          <w:lang w:val="en-US" w:eastAsia="zh-CN" w:bidi="ar-SA"/>
        </w:rPr>
      </w:pPr>
    </w:p>
    <w:p w14:paraId="4898BDA5">
      <w:pPr>
        <w:pStyle w:val="2"/>
        <w:rPr>
          <w:rFonts w:hint="eastAsia" w:ascii="仿宋_GB2312" w:hAnsi="仿宋_GB2312" w:cs="仿宋_GB2312"/>
          <w:color w:val="000000"/>
          <w:kern w:val="0"/>
          <w:sz w:val="32"/>
          <w:szCs w:val="32"/>
          <w:lang w:val="en-US" w:eastAsia="zh-CN" w:bidi="ar-SA"/>
        </w:rPr>
      </w:pPr>
    </w:p>
    <w:p w14:paraId="16CFAA89">
      <w:pPr>
        <w:pStyle w:val="3"/>
        <w:rPr>
          <w:rFonts w:hint="eastAsia" w:ascii="仿宋_GB2312" w:hAnsi="仿宋_GB2312" w:cs="仿宋_GB2312"/>
          <w:color w:val="000000"/>
          <w:kern w:val="0"/>
          <w:sz w:val="32"/>
          <w:szCs w:val="32"/>
          <w:lang w:val="en-US" w:eastAsia="zh-CN" w:bidi="ar-SA"/>
        </w:rPr>
      </w:pPr>
    </w:p>
    <w:p w14:paraId="206FD3CB">
      <w:pPr>
        <w:rPr>
          <w:rFonts w:hint="eastAsia" w:ascii="仿宋_GB2312" w:hAnsi="仿宋_GB2312" w:cs="仿宋_GB2312"/>
          <w:color w:val="000000"/>
          <w:kern w:val="0"/>
          <w:sz w:val="32"/>
          <w:szCs w:val="32"/>
          <w:lang w:val="en-US" w:eastAsia="zh-CN" w:bidi="ar-SA"/>
        </w:rPr>
      </w:pPr>
    </w:p>
    <w:p w14:paraId="096A2671">
      <w:pPr>
        <w:pStyle w:val="2"/>
        <w:rPr>
          <w:rFonts w:hint="eastAsia" w:ascii="仿宋_GB2312" w:hAnsi="仿宋_GB2312" w:cs="仿宋_GB2312"/>
          <w:color w:val="000000"/>
          <w:kern w:val="0"/>
          <w:sz w:val="32"/>
          <w:szCs w:val="32"/>
          <w:lang w:val="en-US" w:eastAsia="zh-CN" w:bidi="ar-SA"/>
        </w:rPr>
      </w:pPr>
    </w:p>
    <w:p w14:paraId="71BCB4B7">
      <w:pPr>
        <w:pStyle w:val="3"/>
        <w:rPr>
          <w:rFonts w:hint="eastAsia"/>
          <w:lang w:val="en-US" w:eastAsia="zh-CN"/>
        </w:rPr>
      </w:pPr>
    </w:p>
    <w:p w14:paraId="17E52D0C">
      <w:pPr>
        <w:pStyle w:val="11"/>
        <w:rPr>
          <w:rFonts w:hint="eastAsia"/>
          <w:lang w:val="en-US" w:eastAsia="zh-CN"/>
        </w:rPr>
      </w:pPr>
    </w:p>
    <w:p w14:paraId="3CF5EF7D">
      <w:pPr>
        <w:keepNext w:val="0"/>
        <w:keepLines w:val="0"/>
        <w:pageBreakBefore w:val="0"/>
        <w:pBdr>
          <w:top w:val="single" w:color="auto" w:sz="6" w:space="1"/>
          <w:bottom w:val="single" w:color="auto" w:sz="6" w:space="1"/>
        </w:pBdr>
        <w:kinsoku/>
        <w:wordWrap w:val="0"/>
        <w:overflowPunct/>
        <w:topLinePunct w:val="0"/>
        <w:autoSpaceDE/>
        <w:autoSpaceDN/>
        <w:bidi w:val="0"/>
        <w:adjustRightInd/>
        <w:snapToGrid/>
        <w:spacing w:line="240" w:lineRule="auto"/>
        <w:jc w:val="center"/>
        <w:rPr>
          <w:rFonts w:hint="default"/>
          <w:lang w:val="en-US" w:eastAsia="zh-CN"/>
        </w:rPr>
      </w:pPr>
      <w:r>
        <w:rPr>
          <w:rFonts w:hint="eastAsia" w:ascii="仿宋_GB2312" w:hAnsi="仿宋_GB2312" w:eastAsia="仿宋_GB2312" w:cs="仿宋_GB2312"/>
          <w:color w:val="000000"/>
          <w:sz w:val="28"/>
          <w:szCs w:val="28"/>
          <w:lang w:val="en-US" w:eastAsia="zh-CN"/>
        </w:rPr>
        <w:t>巴彦淖尔市生态环境局杭锦后旗分局</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28"/>
          <w:szCs w:val="28"/>
        </w:rPr>
        <w:t xml:space="preserve"> </w:t>
      </w:r>
      <w:r>
        <w:rPr>
          <w:rFonts w:hint="eastAsia" w:ascii="仿宋_GB2312" w:hAnsi="仿宋_GB2312" w:eastAsia="仿宋_GB2312" w:cs="仿宋_GB2312"/>
          <w:sz w:val="28"/>
          <w:szCs w:val="28"/>
        </w:rPr>
        <w:t>20</w:t>
      </w:r>
      <w:r>
        <w:rPr>
          <w:rFonts w:hint="eastAsia" w:ascii="仿宋_GB2312" w:hAnsi="仿宋_GB2312" w:eastAsia="仿宋_GB2312" w:cs="仿宋_GB2312"/>
          <w:sz w:val="28"/>
          <w:szCs w:val="28"/>
          <w:lang w:val="en-US" w:eastAsia="zh-CN"/>
        </w:rPr>
        <w:t>2</w:t>
      </w:r>
      <w:r>
        <w:rPr>
          <w:rFonts w:hint="eastAsia" w:ascii="仿宋_GB2312" w:hAnsi="仿宋_GB2312" w:cs="仿宋_GB2312"/>
          <w:sz w:val="28"/>
          <w:szCs w:val="28"/>
          <w:lang w:val="en-US" w:eastAsia="zh-CN"/>
        </w:rPr>
        <w:t>6</w:t>
      </w:r>
      <w:r>
        <w:rPr>
          <w:rFonts w:hint="eastAsia" w:ascii="仿宋_GB2312" w:hAnsi="仿宋_GB2312" w:eastAsia="仿宋_GB2312" w:cs="仿宋_GB2312"/>
          <w:sz w:val="28"/>
          <w:szCs w:val="28"/>
        </w:rPr>
        <w:t>年</w:t>
      </w:r>
      <w:r>
        <w:rPr>
          <w:rFonts w:hint="eastAsia" w:ascii="仿宋_GB2312" w:hAnsi="仿宋_GB2312" w:cs="仿宋_GB2312"/>
          <w:sz w:val="28"/>
          <w:szCs w:val="28"/>
          <w:lang w:val="en-US" w:eastAsia="zh-CN"/>
        </w:rPr>
        <w:t>2</w:t>
      </w:r>
      <w:r>
        <w:rPr>
          <w:rFonts w:hint="eastAsia" w:ascii="仿宋_GB2312" w:hAnsi="仿宋_GB2312" w:eastAsia="仿宋_GB2312" w:cs="仿宋_GB2312"/>
          <w:sz w:val="28"/>
          <w:szCs w:val="28"/>
        </w:rPr>
        <w:t>月</w:t>
      </w:r>
      <w:r>
        <w:rPr>
          <w:rFonts w:hint="eastAsia" w:ascii="仿宋_GB2312" w:hAnsi="仿宋_GB2312" w:eastAsia="仿宋_GB2312" w:cs="仿宋_GB2312"/>
          <w:sz w:val="28"/>
          <w:szCs w:val="28"/>
          <w:lang w:val="en-US" w:eastAsia="zh-CN"/>
        </w:rPr>
        <w:t>1</w:t>
      </w:r>
      <w:r>
        <w:rPr>
          <w:rFonts w:hint="eastAsia" w:ascii="仿宋_GB2312" w:hAnsi="仿宋_GB2312" w:cs="仿宋_GB2312"/>
          <w:sz w:val="28"/>
          <w:szCs w:val="28"/>
          <w:lang w:val="en-US" w:eastAsia="zh-CN"/>
        </w:rPr>
        <w:t>1</w:t>
      </w:r>
      <w:r>
        <w:rPr>
          <w:rFonts w:hint="eastAsia" w:ascii="仿宋_GB2312" w:hAnsi="仿宋_GB2312" w:eastAsia="仿宋_GB2312" w:cs="仿宋_GB2312"/>
          <w:sz w:val="28"/>
          <w:szCs w:val="28"/>
        </w:rPr>
        <w:t>日印发</w:t>
      </w:r>
    </w:p>
    <w:sectPr>
      <w:pgSz w:w="11906" w:h="16838"/>
      <w:pgMar w:top="2098" w:right="1474" w:bottom="198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roman"/>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Garamond">
    <w:altName w:val="Menk Scnin Tig"/>
    <w:panose1 w:val="02020404030301010803"/>
    <w:charset w:val="00"/>
    <w:family w:val="roman"/>
    <w:pitch w:val="default"/>
    <w:sig w:usb0="00000000" w:usb1="00000000" w:usb2="00000000" w:usb3="00000000" w:csb0="0000009F" w:csb1="DFD70000"/>
  </w:font>
  <w:font w:name="仿宋">
    <w:panose1 w:val="02010609060101010101"/>
    <w:charset w:val="86"/>
    <w:family w:val="auto"/>
    <w:pitch w:val="default"/>
    <w:sig w:usb0="800002BF" w:usb1="38CF7CFA" w:usb2="00000016" w:usb3="00000000" w:csb0="00040001" w:csb1="00000000"/>
  </w:font>
  <w:font w:name="Menk Scnin Tig">
    <w:panose1 w:val="02000500000000000000"/>
    <w:charset w:val="00"/>
    <w:family w:val="auto"/>
    <w:pitch w:val="default"/>
    <w:sig w:usb0="A000029F" w:usb1="0049E44A" w:usb2="00020002" w:usb3="00000000" w:csb0="00000001"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ExYmQ2NjkxOGI3YzlhNWQxYWY1ZDZhYjg5ZjA0MGQifQ=="/>
  </w:docVars>
  <w:rsids>
    <w:rsidRoot w:val="7DF051E5"/>
    <w:rsid w:val="0F697CA7"/>
    <w:rsid w:val="139A7BF0"/>
    <w:rsid w:val="150D568B"/>
    <w:rsid w:val="2998070D"/>
    <w:rsid w:val="32FA072C"/>
    <w:rsid w:val="35867B7C"/>
    <w:rsid w:val="38685317"/>
    <w:rsid w:val="45CF7D99"/>
    <w:rsid w:val="468F4DC7"/>
    <w:rsid w:val="4A9B3EA5"/>
    <w:rsid w:val="557B48CA"/>
    <w:rsid w:val="5FE45498"/>
    <w:rsid w:val="61271964"/>
    <w:rsid w:val="69376C92"/>
    <w:rsid w:val="73D239B1"/>
    <w:rsid w:val="7599309B"/>
    <w:rsid w:val="76EE7BCE"/>
    <w:rsid w:val="79CF10D2"/>
    <w:rsid w:val="7B8E43C9"/>
    <w:rsid w:val="7DF051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eastAsia="仿宋_GB2312" w:asciiTheme="minorAscii" w:hAnsiTheme="minorAscii" w:cstheme="minorBidi"/>
      <w:kern w:val="2"/>
      <w:sz w:val="32"/>
      <w:szCs w:val="24"/>
      <w:lang w:val="en-US" w:eastAsia="zh-CN" w:bidi="ar-SA"/>
    </w:rPr>
  </w:style>
  <w:style w:type="paragraph" w:styleId="4">
    <w:name w:val="heading 1"/>
    <w:basedOn w:val="1"/>
    <w:next w:val="1"/>
    <w:qFormat/>
    <w:uiPriority w:val="0"/>
    <w:pPr>
      <w:keepNext/>
      <w:keepLines/>
      <w:spacing w:before="340" w:beforeLines="0" w:beforeAutospacing="0" w:after="330" w:afterLines="0" w:afterAutospacing="0" w:line="576" w:lineRule="auto"/>
      <w:jc w:val="center"/>
      <w:outlineLvl w:val="0"/>
    </w:pPr>
    <w:rPr>
      <w:rFonts w:eastAsia="方正小标宋简体"/>
      <w:kern w:val="44"/>
      <w:sz w:val="44"/>
    </w:rPr>
  </w:style>
  <w:style w:type="paragraph" w:styleId="5">
    <w:name w:val="heading 2"/>
    <w:basedOn w:val="1"/>
    <w:next w:val="1"/>
    <w:semiHidden/>
    <w:unhideWhenUsed/>
    <w:qFormat/>
    <w:uiPriority w:val="0"/>
    <w:pPr>
      <w:keepNext/>
      <w:keepLines/>
      <w:spacing w:beforeLines="0" w:beforeAutospacing="0" w:afterLines="0" w:afterAutospacing="0" w:line="560" w:lineRule="exact"/>
      <w:outlineLvl w:val="1"/>
    </w:pPr>
    <w:rPr>
      <w:rFonts w:ascii="Arial" w:hAnsi="Arial" w:eastAsia="黑体"/>
    </w:rPr>
  </w:style>
  <w:style w:type="paragraph" w:styleId="6">
    <w:name w:val="heading 3"/>
    <w:basedOn w:val="1"/>
    <w:next w:val="1"/>
    <w:semiHidden/>
    <w:unhideWhenUsed/>
    <w:qFormat/>
    <w:uiPriority w:val="0"/>
    <w:pPr>
      <w:keepNext/>
      <w:keepLines/>
      <w:spacing w:beforeLines="0" w:beforeAutospacing="0" w:afterLines="0" w:afterAutospacing="0" w:line="560" w:lineRule="exact"/>
      <w:outlineLvl w:val="2"/>
    </w:pPr>
    <w:rPr>
      <w:rFonts w:eastAsia="楷体_GB2312"/>
      <w:b/>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Date"/>
    <w:basedOn w:val="1"/>
    <w:next w:val="1"/>
    <w:qFormat/>
    <w:uiPriority w:val="0"/>
    <w:pPr>
      <w:spacing w:line="480" w:lineRule="exact"/>
      <w:ind w:left="100" w:leftChars="2500"/>
    </w:pPr>
    <w:rPr>
      <w:rFonts w:eastAsia="宋体"/>
    </w:rPr>
  </w:style>
  <w:style w:type="paragraph" w:styleId="7">
    <w:name w:val="Body Text First Indent"/>
    <w:basedOn w:val="2"/>
    <w:next w:val="1"/>
    <w:qFormat/>
    <w:uiPriority w:val="99"/>
    <w:pPr>
      <w:adjustRightInd w:val="0"/>
      <w:spacing w:after="120" w:line="480" w:lineRule="atLeast"/>
      <w:ind w:left="420" w:firstLine="420" w:firstLineChars="100"/>
    </w:pPr>
    <w:rPr>
      <w:spacing w:val="-2"/>
      <w:sz w:val="28"/>
    </w:rPr>
  </w:style>
  <w:style w:type="paragraph" w:styleId="8">
    <w:name w:val="Body Text First Indent 2"/>
    <w:basedOn w:val="1"/>
    <w:next w:val="7"/>
    <w:qFormat/>
    <w:uiPriority w:val="0"/>
    <w:pPr>
      <w:keepNext w:val="0"/>
      <w:keepLines w:val="0"/>
      <w:widowControl w:val="0"/>
      <w:suppressLineNumbers w:val="0"/>
      <w:tabs>
        <w:tab w:val="left" w:pos="0"/>
      </w:tabs>
      <w:spacing w:after="120" w:afterAutospacing="0"/>
      <w:ind w:left="420" w:leftChars="200" w:firstLine="420" w:firstLineChars="200"/>
      <w:jc w:val="both"/>
    </w:pPr>
    <w:rPr>
      <w:rFonts w:hint="default" w:ascii="Garamond" w:hAnsi="Garamond" w:eastAsia="宋体" w:cs="黑体"/>
      <w:kern w:val="2"/>
      <w:sz w:val="24"/>
      <w:szCs w:val="24"/>
      <w:lang w:val="en-US" w:eastAsia="zh-CN" w:bidi="ar"/>
    </w:rPr>
  </w:style>
  <w:style w:type="paragraph" w:customStyle="1" w:styleId="11">
    <w:name w:val="Default1"/>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paragraph" w:customStyle="1" w:styleId="12">
    <w:name w:val="xl27"/>
    <w:basedOn w:val="1"/>
    <w:qFormat/>
    <w:uiPriority w:val="0"/>
    <w:pPr>
      <w:widowControl/>
      <w:pBdr>
        <w:bottom w:val="single" w:color="auto" w:sz="4" w:space="0"/>
        <w:right w:val="single" w:color="auto" w:sz="4" w:space="0"/>
      </w:pBdr>
      <w:spacing w:before="100" w:beforeAutospacing="1" w:after="100" w:afterAutospacing="1"/>
      <w:jc w:val="center"/>
    </w:pPr>
    <w:rPr>
      <w:kern w:val="0"/>
      <w:szCs w:val="21"/>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36ee612b-a997-4b3b-8636-7f3a0cd89f60</errorID>
      <errorWord>1、</errorWord>
      <group>L1_Format</group>
      <groupName>格式问题</groupName>
      <ability>L2_Ordinal</ability>
      <abilityName>序号格式</abilityName>
      <candidateList>
        <item>1.</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29AA7A24</paraID>
      <start>0</start>
      <end>2</end>
      <status>modified</status>
      <modifiedWord>1.</modifiedWord>
      <trackRevisions>false</trackRevisions>
    </reviewItem>
    <reviewItem>
      <errorID>bed584a8-5ee1-4bfc-a227-56a825420a30</errorID>
      <errorWord>(</errorWord>
      <group>L1_Format</group>
      <groupName>格式问题</groupName>
      <ability>L2_HalfPunc</ability>
      <abilityName>全半角检查</abilityName>
      <candidateList>
        <item>（</item>
      </candidateList>
      <explain>文本全半角错误。</explain>
      <paraID>29AA7A24</paraID>
      <start>62</start>
      <end>63</end>
      <status>modified</status>
      <modifiedWord>（</modifiedWord>
      <trackRevisions>false</trackRevisions>
    </reviewItem>
    <reviewItem>
      <errorID>b4d57b09-ce56-43c9-a37e-49de41302b58</errorID>
      <errorWord>)</errorWord>
      <group>L1_Format</group>
      <groupName>格式问题</groupName>
      <ability>L2_HalfPunc</ability>
      <abilityName>全半角检查</abilityName>
      <candidateList>
        <item>）</item>
      </candidateList>
      <explain>文本全半角错误。</explain>
      <paraID>29AA7A24</paraID>
      <start>75</start>
      <end>76</end>
      <status>modified</status>
      <modifiedWord>）</modifiedWord>
      <trackRevisions>false</trackRevisions>
    </reviewItem>
    <reviewItem>
      <errorID>fc55ef8a-6348-4fcd-8cb8-3db9d8d40e08</errorID>
      <errorWord>(</errorWord>
      <group>L1_Format</group>
      <groupName>格式问题</groupName>
      <ability>L2_HalfPunc</ability>
      <abilityName>全半角检查</abilityName>
      <candidateList>
        <item>（</item>
      </candidateList>
      <explain>文本全半角错误。</explain>
      <paraID>29AA7A24</paraID>
      <start>412</start>
      <end>413</end>
      <status>modified</status>
      <modifiedWord>（</modifiedWord>
      <trackRevisions>false</trackRevisions>
    </reviewItem>
    <reviewItem>
      <errorID>83103929-d696-4269-b9fd-09633d5d9810</errorID>
      <errorWord>)</errorWord>
      <group>L1_Format</group>
      <groupName>格式问题</groupName>
      <ability>L2_HalfPunc</ability>
      <abilityName>全半角检查</abilityName>
      <candidateList>
        <item>）</item>
      </candidateList>
      <explain>文本全半角错误。</explain>
      <paraID>29AA7A24</paraID>
      <start>425</start>
      <end>426</end>
      <status>modified</status>
      <modifiedWord>）</modifiedWord>
      <trackRevisions>false</trackRevisions>
    </reviewItem>
    <reviewItem>
      <errorID>b97db7b0-7e42-4131-b62c-d5114db7e9f2</errorID>
      <errorWord>2、</errorWord>
      <group>L1_Format</group>
      <groupName>格式问题</groupName>
      <ability>L2_Ordinal</ability>
      <abilityName>序号格式</abilityName>
      <candidateList>
        <item>2.</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40472941</paraID>
      <start>0</start>
      <end>2</end>
      <status>modified</status>
      <modifiedWord>2.</modifiedWord>
      <trackRevisions>false</trackRevisions>
    </reviewItem>
    <reviewItem>
      <errorID>b95493ad-56d4-46e4-bdec-1118bb48abf0</errorID>
      <errorWord>3、</errorWord>
      <group>L1_Format</group>
      <groupName>格式问题</groupName>
      <ability>L2_Ordinal</ability>
      <abilityName>序号格式</abilityName>
      <candidateList>
        <item>3.</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27824A01</paraID>
      <start>0</start>
      <end>2</end>
      <status>modified</status>
      <modifiedWord>3.</modifiedWord>
      <trackRevisions>false</trackRevisions>
    </reviewItem>
    <reviewItem>
      <errorID>2af680f6-a069-4b7f-bb51-c2ccbed054c2</errorID>
      <errorWord>4、</errorWord>
      <group>L1_Format</group>
      <groupName>格式问题</groupName>
      <ability>L2_Ordinal</ability>
      <abilityName>序号格式</abilityName>
      <candidateList>
        <item>4.</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31B179E5</paraID>
      <start>0</start>
      <end>2</end>
      <status>modified</status>
      <modifiedWord>4.</modifiedWord>
      <trackRevisions>false</trackRevisions>
    </reviewItem>
    <reviewItem>
      <errorID>aa20188d-57ea-4506-bc3a-3bc23320a4ac</errorID>
      <errorWord>5、</errorWord>
      <group>L1_Format</group>
      <groupName>格式问题</groupName>
      <ability>L2_Ordinal</ability>
      <abilityName>序号格式</abilityName>
      <candidateList>
        <item>5.</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44646158</paraID>
      <start>0</start>
      <end>2</end>
      <status>modified</status>
      <modifiedWord>5.</modifiedWord>
      <trackRevisions>false</trackRevisions>
    </reviewItem>
    <reviewItem>
      <errorID>1a9bc1d1-8851-4975-8398-79936444c92c</errorID>
      <errorWord>逸出</errorWord>
      <group>L1_Word</group>
      <groupName>字词问题</groupName>
      <ability>L2_Typo</ability>
      <abilityName>字词错误</abilityName>
      <candidateList>
        <item>溢出</item>
      </candidateList>
      <explain/>
      <paraID>44646158</paraID>
      <start>30</start>
      <end>32</end>
      <status>modified</status>
      <modifiedWord>溢出</modifiedWord>
      <trackRevisions>false</trackRevisions>
    </reviewItem>
    <reviewItem>
      <errorID>f95a5d4b-e37a-4aaf-8e58-d87a31837493</errorID>
      <errorWord>设</errorWord>
      <group>L1_Word</group>
      <groupName>字词问题</groupName>
      <ability>L2_Typo</ability>
      <abilityName>字词错误</abilityName>
      <candidateList>
        <item>设置</item>
      </candidateList>
      <explain>〈动〉❶设立：这座剧院是为儿童～的。❷安放；安装：～障碍。</explain>
      <paraID>44646158</paraID>
      <start>38</start>
      <end>40</end>
      <status>modified</status>
      <modifiedWord>设置</modifiedWord>
      <trackRevisions>false</trackRevisions>
    </reviewItem>
    <reviewItem>
      <errorID>3ac01a5d-da1f-4ca1-9041-89c0148060ce</errorID>
      <errorWord>6、</errorWord>
      <group>L1_Format</group>
      <groupName>格式问题</groupName>
      <ability>L2_Ordinal</ability>
      <abilityName>序号格式</abilityName>
      <candidateList>
        <item>6.</item>
      </candidateList>
      <explain>中文书写环境建议使用国标要求书写序次语。根据标点符号用法（GB/T 15834—2011）序次语书写要求，通常第一层是带有顿号的汉字数字，如“一、”；第二层是带括号（全角）的汉字数字，如“（一）”；第三层是带下脚点（半角）的阿拉伯数字，如“1.”；第四层是带括号（全角）的阿拉伯数字，如“（1）”“1）”；其后可以按照书写者意愿输入带圈的阿拉伯数字或大小写拉丁字母，如“①”“ a.”。</explain>
      <paraID>272FC42E</paraID>
      <start>0</start>
      <end>2</end>
      <status>modified</status>
      <modifiedWord>6.</modifiedWord>
      <trackRevisions>false</trackRevisions>
    </reviewItem>
  </reviewItems>
  <config/>
</contractReview>
</file>

<file path=customXml/itemProps1.xml><?xml version="1.0" encoding="utf-8"?>
<ds:datastoreItem xmlns:ds="http://schemas.openxmlformats.org/officeDocument/2006/customXml" ds:itemID="{6a278c1f-f706-46ab-b27f-939d93d39fb5}">
  <ds:schemaRefs/>
</ds:datastoreItem>
</file>

<file path=docProps/app.xml><?xml version="1.0" encoding="utf-8"?>
<Properties xmlns="http://schemas.openxmlformats.org/officeDocument/2006/extended-properties" xmlns:vt="http://schemas.openxmlformats.org/officeDocument/2006/docPropsVTypes">
  <Template>Normal.dotm</Template>
  <Pages>5</Pages>
  <Words>1520</Words>
  <Characters>1645</Characters>
  <Lines>0</Lines>
  <Paragraphs>0</Paragraphs>
  <TotalTime>1</TotalTime>
  <ScaleCrop>false</ScaleCrop>
  <LinksUpToDate>false</LinksUpToDate>
  <CharactersWithSpaces>1679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2026-02-02T08:48:00Z</dcterms:created>
  <dc:creator>一朵唐糖棠</dc:creator>
  <cp:lastModifiedBy> 敏儿</cp:lastModifiedBy>
  <cp:lastPrinted>2026-02-05T01:27:00Z</cp:lastPrinted>
  <dcterms:modified xsi:type="dcterms:W3CDTF">2026-02-12T08:09:17Z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6BAE177029844E3EA6E492FF6A3522C0</vt:lpwstr>
  </property>
  <property fmtid="{D5CDD505-2E9C-101B-9397-08002B2CF9AE}" pid="4" name="KSOTemplateDocerSaveRecord">
    <vt:lpwstr>eyJoZGlkIjoiMThmNWJlNzZiZDg1NTJkM2IyM2UzZTJlMGE4ZmM0MzkiLCJ1c2VySWQiOiI0NTQ4MDMxNzQifQ==</vt:lpwstr>
  </property>
</Properties>
</file>