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86DF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113DBE7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3ABCF44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杭锦后旗社会保险事业服务中心</w:t>
      </w:r>
    </w:p>
    <w:p w14:paraId="193E85E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2025年度法治政府建设情况报告</w:t>
      </w:r>
    </w:p>
    <w:p w14:paraId="4009B6E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685B705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杭锦后旗社会保险事业服务中心坚持以习近平新时代中国特色社会主义思想为指导，全面贯彻习近平法治思想，认真落实中央、自治区、市、旗关于法治政府建设的各项决策部署，紧紧围绕社会保险中心工作，</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lang w:val="en-US" w:eastAsia="zh-CN"/>
        </w:rPr>
        <w:t>法治思维、法治方式贯穿于参保登记、基金管理、待遇核发、经办服务、风险防控全过程，以法治强保障、以法治促规范、以法治惠民生，持续提升社保领域依法行政水平，为全旗社会保险事业高质量发展提供了坚实法治支撑。</w:t>
      </w:r>
    </w:p>
    <w:p w14:paraId="336A750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一、2025年法治政府建设主要举措与工作成效</w:t>
      </w:r>
    </w:p>
    <w:p w14:paraId="1FD1E2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（一）强化组织领导，压实法治建设政治责任。</w:t>
      </w:r>
      <w:r>
        <w:rPr>
          <w:rFonts w:hint="eastAsia" w:ascii="仿宋_GB2312" w:hAnsi="仿宋_GB2312" w:eastAsia="仿宋_GB2312" w:cs="仿宋_GB2312"/>
          <w:b/>
          <w:bCs/>
          <w:sz w:val="32"/>
          <w:szCs w:val="32"/>
          <w:lang w:val="en-US" w:eastAsia="zh-CN"/>
        </w:rPr>
        <w:t>一是健全领导体系，统筹推进法治建设</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坚持把法治政府建设摆在全局工作重要位置，严格落实法治建设“一把手”负责制，形成主要领导亲自部署、分管领导具体牵头、各业务股室分工负责、全体干部职工共同参与的工作格局。定期研究法治政府建设重点任务、重要问题、重大事项，将法治建设与业务工作</w:t>
      </w:r>
      <w:r>
        <w:rPr>
          <w:rFonts w:hint="eastAsia" w:ascii="仿宋_GB2312" w:hAnsi="仿宋_GB2312" w:cs="仿宋_GB2312"/>
          <w:sz w:val="32"/>
          <w:szCs w:val="32"/>
          <w:lang w:val="en-US" w:eastAsia="zh-CN"/>
        </w:rPr>
        <w:t>同谋划、同部署、同推进</w:t>
      </w:r>
      <w:r>
        <w:rPr>
          <w:rFonts w:hint="eastAsia" w:ascii="仿宋_GB2312" w:hAnsi="仿宋_GB2312" w:eastAsia="仿宋_GB2312" w:cs="仿宋_GB2312"/>
          <w:sz w:val="32"/>
          <w:szCs w:val="32"/>
          <w:lang w:val="en-US" w:eastAsia="zh-CN"/>
        </w:rPr>
        <w:t>，确保法治建设方向不偏、力度不减、落地见效。</w:t>
      </w:r>
    </w:p>
    <w:p w14:paraId="1C1B87C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二是</w:t>
      </w:r>
      <w:r>
        <w:rPr>
          <w:rFonts w:hint="eastAsia" w:ascii="仿宋_GB2312" w:hAnsi="仿宋_GB2312" w:eastAsia="仿宋_GB2312" w:cs="仿宋_GB2312"/>
          <w:b/>
          <w:bCs/>
          <w:sz w:val="32"/>
          <w:szCs w:val="32"/>
          <w:lang w:val="en-US" w:eastAsia="zh-CN"/>
        </w:rPr>
        <w:t>完善工作机制，强化制度刚性约束</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进一步健全法治建设工作责任制、内部监督机制、考核评价机制，将法治学习、依法行政、规范经办、基金安全等内容纳入年度绩效考核，细化指标、明确要求、压实责任。坚持用制度管权、管事、管人，完善经办流程、内控机制、风险点排查机制，推动各项工作制度化、规范化、程序化。</w:t>
      </w:r>
      <w:r>
        <w:rPr>
          <w:rFonts w:hint="eastAsia" w:ascii="仿宋_GB2312" w:hAnsi="仿宋_GB2312" w:cs="仿宋_GB2312"/>
          <w:b/>
          <w:bCs/>
          <w:sz w:val="32"/>
          <w:szCs w:val="32"/>
          <w:lang w:val="en-US" w:eastAsia="zh-CN"/>
        </w:rPr>
        <w:t>三是</w:t>
      </w:r>
      <w:r>
        <w:rPr>
          <w:rFonts w:hint="eastAsia" w:ascii="仿宋_GB2312" w:hAnsi="仿宋_GB2312" w:eastAsia="仿宋_GB2312" w:cs="仿宋_GB2312"/>
          <w:b/>
          <w:bCs/>
          <w:sz w:val="32"/>
          <w:szCs w:val="32"/>
          <w:lang w:val="en-US" w:eastAsia="zh-CN"/>
        </w:rPr>
        <w:t>抓实队伍建设，提升依法履职能力</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坚持把学习贯彻习近平法治思想作为首要政治任务，纳入党支部学习、干部教育培训、网络学法用法必学内容，推动干部职工学深悟透、入脑入心。常态化组织学习《中华人民共和国社会保险法》《社会保险经办条例》等法律法规，开展政策业务培训、经办流程培训、法治专题培训，强化网络学法和普法考试，实现应学尽学、应考尽考。通过政治理论学习、法治素养提升、业务技能练兵，着力打造一支政治过硬、业务精通、作风务实、依法经办的社保干部队伍。</w:t>
      </w:r>
    </w:p>
    <w:p w14:paraId="5FC31A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（二）坚守基金安全底线，全力推进法治风险防控。</w:t>
      </w:r>
      <w:r>
        <w:rPr>
          <w:rFonts w:hint="eastAsia" w:ascii="仿宋_GB2312" w:hAnsi="仿宋_GB2312" w:cs="仿宋_GB2312"/>
          <w:b/>
          <w:bCs/>
          <w:sz w:val="32"/>
          <w:szCs w:val="32"/>
          <w:lang w:val="en-US" w:eastAsia="zh-CN"/>
        </w:rPr>
        <w:t>一是</w:t>
      </w:r>
      <w:r>
        <w:rPr>
          <w:rFonts w:hint="eastAsia" w:ascii="仿宋_GB2312" w:hAnsi="仿宋_GB2312" w:eastAsia="仿宋_GB2312" w:cs="仿宋_GB2312"/>
          <w:b/>
          <w:bCs/>
          <w:sz w:val="32"/>
          <w:szCs w:val="32"/>
          <w:lang w:val="en-US" w:eastAsia="zh-CN"/>
        </w:rPr>
        <w:t>强化基金监管，筑牢安全法治防线</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始终把社保基金安全作为不可逾越的红线、底线、生命线，坚持以案示警、以案释法、以案明纪、以案促防，常态化开展基金安全警示教育和风险排查，不断增强干部职工风险意识、规矩意识、法治意识。严格执行基金管理制度、财务制度、内控制度，规范基金收支流程，强化全程监督，确保基金管理规范、运行安全。</w:t>
      </w:r>
      <w:r>
        <w:rPr>
          <w:rFonts w:hint="eastAsia" w:ascii="仿宋_GB2312" w:hAnsi="仿宋_GB2312" w:cs="仿宋_GB2312"/>
          <w:b/>
          <w:bCs/>
          <w:sz w:val="32"/>
          <w:szCs w:val="32"/>
          <w:lang w:val="en-US" w:eastAsia="zh-CN"/>
        </w:rPr>
        <w:t>二是</w:t>
      </w:r>
      <w:r>
        <w:rPr>
          <w:rFonts w:hint="eastAsia" w:ascii="仿宋_GB2312" w:hAnsi="仿宋_GB2312" w:eastAsia="仿宋_GB2312" w:cs="仿宋_GB2312"/>
          <w:b/>
          <w:bCs/>
          <w:sz w:val="32"/>
          <w:szCs w:val="32"/>
          <w:lang w:val="en-US" w:eastAsia="zh-CN"/>
        </w:rPr>
        <w:t>从严核查整改，依法追缴违规待遇</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建立违规领取社保待遇台账式管理、清单化推进、销号式整改机制，对死亡冒领、服刑冒领、重复领取等问题分类梳理、逐一核实、依法追缴。对已足额退回人员及时销号，对拒不退还人员依法依规采取措施，做到不漏一人、不漏一项、不留死角。通过常态化核查、规范化处置、法治化追缴，切实维护基金安全完整和社会公平正义。</w:t>
      </w:r>
      <w:r>
        <w:rPr>
          <w:rFonts w:hint="eastAsia" w:ascii="仿宋_GB2312" w:hAnsi="仿宋_GB2312" w:cs="仿宋_GB2312"/>
          <w:b/>
          <w:bCs/>
          <w:sz w:val="32"/>
          <w:szCs w:val="32"/>
          <w:lang w:val="en-US" w:eastAsia="zh-CN"/>
        </w:rPr>
        <w:t>三是</w:t>
      </w:r>
      <w:r>
        <w:rPr>
          <w:rFonts w:hint="eastAsia" w:ascii="仿宋_GB2312" w:hAnsi="仿宋_GB2312" w:eastAsia="仿宋_GB2312" w:cs="仿宋_GB2312"/>
          <w:b/>
          <w:bCs/>
          <w:sz w:val="32"/>
          <w:szCs w:val="32"/>
          <w:lang w:val="en-US" w:eastAsia="zh-CN"/>
        </w:rPr>
        <w:t>深化数据赋能，提升风险防控精准度</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健全跨部门数据共享和信息比对机制，加强与民政、疾控、司法等部门协同联动，定期获取死亡信息、社区矫正信息等关键数据，从源头防范违规领取待遇，全年未发生重大基金安全事故，基金运行总体平稳、安全、可控。</w:t>
      </w:r>
    </w:p>
    <w:p w14:paraId="79487A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（三）完善制度体系，夯实依法行政工作基础。</w:t>
      </w:r>
      <w:r>
        <w:rPr>
          <w:rFonts w:hint="eastAsia" w:ascii="仿宋_GB2312" w:hAnsi="仿宋_GB2312" w:eastAsia="仿宋_GB2312" w:cs="仿宋_GB2312"/>
          <w:b/>
          <w:bCs/>
          <w:sz w:val="32"/>
          <w:szCs w:val="32"/>
          <w:lang w:val="en-US" w:eastAsia="zh-CN"/>
        </w:rPr>
        <w:t>一是健全常态化法治学习机制。</w:t>
      </w:r>
      <w:r>
        <w:rPr>
          <w:rFonts w:hint="eastAsia" w:ascii="仿宋_GB2312" w:hAnsi="仿宋_GB2312" w:eastAsia="仿宋_GB2312" w:cs="仿宋_GB2312"/>
          <w:sz w:val="32"/>
          <w:szCs w:val="32"/>
          <w:lang w:val="en-US" w:eastAsia="zh-CN"/>
        </w:rPr>
        <w:t>坚持把法治学习融入日常、抓在经常，通过集中学习、政策解读、案例分析等多种形式，组织干部职工深学细研社保领域法律法规，准确把握立法精神、核心要义、适用规则，切实提升运用法治解决问题、化解矛盾、推动工作的能力</w:t>
      </w:r>
      <w:r>
        <w:rPr>
          <w:rFonts w:hint="eastAsia" w:ascii="仿宋_GB2312" w:hAnsi="仿宋_GB2312" w:cs="仿宋_GB2312"/>
          <w:sz w:val="32"/>
          <w:szCs w:val="32"/>
          <w:lang w:val="en-US" w:eastAsia="zh-CN"/>
        </w:rPr>
        <w:t>。</w:t>
      </w:r>
      <w:r>
        <w:rPr>
          <w:rFonts w:hint="eastAsia" w:ascii="仿宋_GB2312" w:hAnsi="仿宋_GB2312" w:cs="仿宋_GB2312"/>
          <w:b/>
          <w:bCs/>
          <w:sz w:val="32"/>
          <w:szCs w:val="32"/>
          <w:lang w:val="en-US" w:eastAsia="zh-CN"/>
        </w:rPr>
        <w:t>二是</w:t>
      </w:r>
      <w:r>
        <w:rPr>
          <w:rFonts w:hint="eastAsia" w:ascii="仿宋_GB2312" w:hAnsi="仿宋_GB2312" w:eastAsia="仿宋_GB2312" w:cs="仿宋_GB2312"/>
          <w:b/>
          <w:bCs/>
          <w:sz w:val="32"/>
          <w:szCs w:val="32"/>
          <w:lang w:val="en-US" w:eastAsia="zh-CN"/>
        </w:rPr>
        <w:t>优化经办管理和内控制度</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对社保业务经办、权限管理、流程审批、档案管理、基金财务、风险防控等制度进行全面梳理、修订、完善，进一步明确岗位职责、权限边界、操作规范，形成权责清晰、流程顺畅、管控有力的制度体系，确保各项经办工作有章可循、有据可依、规范有序。</w:t>
      </w:r>
      <w:r>
        <w:rPr>
          <w:rFonts w:hint="eastAsia" w:ascii="仿宋_GB2312" w:hAnsi="仿宋_GB2312" w:cs="仿宋_GB2312"/>
          <w:b/>
          <w:bCs/>
          <w:sz w:val="32"/>
          <w:szCs w:val="32"/>
          <w:lang w:val="en-US" w:eastAsia="zh-CN"/>
        </w:rPr>
        <w:t>三是</w:t>
      </w:r>
      <w:r>
        <w:rPr>
          <w:rFonts w:hint="eastAsia" w:ascii="仿宋_GB2312" w:hAnsi="仿宋_GB2312" w:eastAsia="仿宋_GB2312" w:cs="仿宋_GB2312"/>
          <w:b/>
          <w:bCs/>
          <w:sz w:val="32"/>
          <w:szCs w:val="32"/>
          <w:lang w:val="en-US" w:eastAsia="zh-CN"/>
        </w:rPr>
        <w:t>强化制度执行和监督检查</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坚持制度面前人人平等，加强对制度执行情况的监督检查，定期开展自查自纠、专项督查、绩效评估，及时发现和纠正制度执行不到位、程序不规范、操作不严谨等问题，切实维护制度的严肃性和权威性。</w:t>
      </w:r>
    </w:p>
    <w:p w14:paraId="2DA2771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b/>
          <w:bCs/>
          <w:sz w:val="32"/>
          <w:szCs w:val="32"/>
          <w:lang w:val="en-US" w:eastAsia="zh-CN"/>
        </w:rPr>
        <w:t>四）深化普法宣传教育，营造良好法治环境。</w:t>
      </w:r>
      <w:r>
        <w:rPr>
          <w:rFonts w:hint="eastAsia" w:ascii="仿宋_GB2312" w:hAnsi="仿宋_GB2312" w:cs="仿宋_GB2312"/>
          <w:b/>
          <w:bCs/>
          <w:sz w:val="32"/>
          <w:szCs w:val="32"/>
          <w:lang w:val="en-US" w:eastAsia="zh-CN"/>
        </w:rPr>
        <w:t>一是</w:t>
      </w:r>
      <w:r>
        <w:rPr>
          <w:rFonts w:hint="eastAsia" w:ascii="仿宋_GB2312" w:hAnsi="仿宋_GB2312" w:eastAsia="仿宋_GB2312" w:cs="仿宋_GB2312"/>
          <w:b/>
          <w:bCs/>
          <w:sz w:val="32"/>
          <w:szCs w:val="32"/>
          <w:lang w:val="en-US" w:eastAsia="zh-CN"/>
        </w:rPr>
        <w:t>开展主题普法活动，提升群众知晓率</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紧扣“社保服务进万家”、工伤保险宣传等重点活动，通过现场咨询、发放资料、政策讲解、案例解读等方式，面向企业、群众开展面对面普法，重点宣传参保缴费、养老保险、工伤保险、待遇领取、权益维护等法律法规和政策。引导群众知社保、懂社保、信社保</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用社保，切实增强群众法治意识和维权能力。</w:t>
      </w:r>
      <w:r>
        <w:rPr>
          <w:rFonts w:hint="eastAsia" w:ascii="仿宋_GB2312" w:hAnsi="仿宋_GB2312" w:cs="仿宋_GB2312"/>
          <w:b/>
          <w:bCs/>
          <w:sz w:val="32"/>
          <w:szCs w:val="32"/>
          <w:lang w:val="en-US" w:eastAsia="zh-CN"/>
        </w:rPr>
        <w:t>二是</w:t>
      </w:r>
      <w:r>
        <w:rPr>
          <w:rFonts w:hint="eastAsia" w:ascii="仿宋_GB2312" w:hAnsi="仿宋_GB2312" w:eastAsia="仿宋_GB2312" w:cs="仿宋_GB2312"/>
          <w:b/>
          <w:bCs/>
          <w:sz w:val="32"/>
          <w:szCs w:val="32"/>
          <w:lang w:val="en-US" w:eastAsia="zh-CN"/>
        </w:rPr>
        <w:t>创新宣传方式方法，扩大普法覆盖面</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构建“线上</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线下”立体化宣传格局。线下深入企业、社区、村组开展法治宣传</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次，覆盖群众600余人，发放宣传品1500余份；线上依托微信公众号发布政策解</w:t>
      </w:r>
      <w:r>
        <w:rPr>
          <w:rFonts w:hint="eastAsia" w:ascii="仿宋_GB2312" w:hAnsi="仿宋_GB2312" w:cs="仿宋_GB2312"/>
          <w:sz w:val="32"/>
          <w:szCs w:val="32"/>
          <w:lang w:val="en-US" w:eastAsia="zh-CN"/>
        </w:rPr>
        <w:t>读</w:t>
      </w:r>
      <w:r>
        <w:rPr>
          <w:rFonts w:hint="eastAsia" w:ascii="仿宋_GB2312" w:hAnsi="仿宋_GB2312" w:eastAsia="仿宋_GB2312" w:cs="仿宋_GB2312"/>
          <w:sz w:val="32"/>
          <w:szCs w:val="32"/>
          <w:lang w:val="en-US" w:eastAsia="zh-CN"/>
        </w:rPr>
        <w:t>73次，利用政务服务抖音号开展直播宣传1场，实现宣传全方位、广覆盖、常态化。</w:t>
      </w:r>
      <w:r>
        <w:rPr>
          <w:rFonts w:hint="eastAsia" w:ascii="仿宋_GB2312" w:hAnsi="仿宋_GB2312" w:cs="仿宋_GB2312"/>
          <w:b/>
          <w:bCs/>
          <w:sz w:val="32"/>
          <w:szCs w:val="32"/>
          <w:lang w:val="en-US" w:eastAsia="zh-CN"/>
        </w:rPr>
        <w:t>三是</w:t>
      </w:r>
      <w:r>
        <w:rPr>
          <w:rFonts w:hint="eastAsia" w:ascii="仿宋_GB2312" w:hAnsi="仿宋_GB2312" w:eastAsia="仿宋_GB2312" w:cs="仿宋_GB2312"/>
          <w:b/>
          <w:bCs/>
          <w:sz w:val="32"/>
          <w:szCs w:val="32"/>
          <w:lang w:val="en-US" w:eastAsia="zh-CN"/>
        </w:rPr>
        <w:t>突出重点领域宣传，增强普法实效性</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聚焦工伤预防、基金安全、权益维护等重点内容，在复工复产、高温作业、节假日等关键节点发布温馨提示和风险提醒，督促企业落实安全生产主体责任，引导劳动者增强自我保护意识，推动形成办事依法、遇事找法、解决问题用法、化解矛盾靠法的良好氛围。</w:t>
      </w:r>
    </w:p>
    <w:p w14:paraId="0E73AA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（五）优化政务服务，提升依法行政为民效能。</w:t>
      </w:r>
      <w:r>
        <w:rPr>
          <w:rFonts w:hint="eastAsia" w:ascii="仿宋_GB2312" w:hAnsi="仿宋_GB2312" w:cs="仿宋_GB2312"/>
          <w:b/>
          <w:bCs/>
          <w:sz w:val="32"/>
          <w:szCs w:val="32"/>
          <w:lang w:val="en-US" w:eastAsia="zh-CN"/>
        </w:rPr>
        <w:t>一是</w:t>
      </w:r>
      <w:r>
        <w:rPr>
          <w:rFonts w:hint="eastAsia" w:ascii="仿宋_GB2312" w:hAnsi="仿宋_GB2312" w:eastAsia="仿宋_GB2312" w:cs="仿宋_GB2312"/>
          <w:b/>
          <w:bCs/>
          <w:sz w:val="32"/>
          <w:szCs w:val="32"/>
          <w:lang w:val="en-US" w:eastAsia="zh-CN"/>
        </w:rPr>
        <w:t>持续深化“放管服”改革</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以群众需求为导向，简化办事环节、精简证明材料、优化办理流程，大力推进“一网通办”“全区通办”“最多跑一次”，不断提升社保经办效率。截至2025年底，全旗社保卡发放量达22.55万张，窗口服务群众好评率稳定在98%以上</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企业职工丧抚待遇申领、灵活就业人员退休申领等高频事项办理高效便捷，群众获得感、满意度持续提升。</w:t>
      </w:r>
      <w:r>
        <w:rPr>
          <w:rFonts w:hint="eastAsia" w:ascii="仿宋_GB2312" w:hAnsi="仿宋_GB2312" w:cs="仿宋_GB2312"/>
          <w:b/>
          <w:bCs/>
          <w:sz w:val="32"/>
          <w:szCs w:val="32"/>
          <w:lang w:val="en-US" w:eastAsia="zh-CN"/>
        </w:rPr>
        <w:t>二是</w:t>
      </w:r>
      <w:r>
        <w:rPr>
          <w:rFonts w:hint="eastAsia" w:ascii="仿宋_GB2312" w:hAnsi="仿宋_GB2312" w:eastAsia="仿宋_GB2312" w:cs="仿宋_GB2312"/>
          <w:b/>
          <w:bCs/>
          <w:sz w:val="32"/>
          <w:szCs w:val="32"/>
          <w:lang w:val="en-US" w:eastAsia="zh-CN"/>
        </w:rPr>
        <w:t>推进服务窗口标准化建设</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加强服务窗口规范化管理，统一服务标准、服务流程、服务用语，强化窗口人员业务培训、礼仪培训、法治培训，着力打造便民、高效、文明、规范的社保服务窗口，以优质服务展现法治政府建设成效。</w:t>
      </w:r>
      <w:r>
        <w:rPr>
          <w:rFonts w:hint="eastAsia" w:ascii="仿宋_GB2312" w:hAnsi="仿宋_GB2312" w:cs="仿宋_GB2312"/>
          <w:b/>
          <w:bCs/>
          <w:sz w:val="32"/>
          <w:szCs w:val="32"/>
          <w:lang w:val="en-US" w:eastAsia="zh-CN"/>
        </w:rPr>
        <w:t>三是</w:t>
      </w:r>
      <w:r>
        <w:rPr>
          <w:rFonts w:hint="eastAsia" w:ascii="仿宋_GB2312" w:hAnsi="仿宋_GB2312" w:eastAsia="仿宋_GB2312" w:cs="仿宋_GB2312"/>
          <w:b/>
          <w:bCs/>
          <w:sz w:val="32"/>
          <w:szCs w:val="32"/>
          <w:lang w:val="en-US" w:eastAsia="zh-CN"/>
        </w:rPr>
        <w:t>依法高效处理群众诉求</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坚持依法依规、公平公正处理信访咨询、政策解答、行政</w:t>
      </w:r>
      <w:r>
        <w:rPr>
          <w:rFonts w:hint="eastAsia" w:ascii="仿宋_GB2312" w:hAnsi="仿宋_GB2312" w:cs="仿宋_GB2312"/>
          <w:sz w:val="32"/>
          <w:szCs w:val="32"/>
          <w:lang w:val="en-US" w:eastAsia="zh-CN"/>
        </w:rPr>
        <w:t>诉讼</w:t>
      </w:r>
      <w:r>
        <w:rPr>
          <w:rFonts w:hint="eastAsia" w:ascii="仿宋_GB2312" w:hAnsi="仿宋_GB2312" w:eastAsia="仿宋_GB2312" w:cs="仿宋_GB2312"/>
          <w:sz w:val="32"/>
          <w:szCs w:val="32"/>
          <w:lang w:val="en-US" w:eastAsia="zh-CN"/>
        </w:rPr>
        <w:t>等事项，认真倾听群众呼声、回应群众关切，及时化解矛盾纠纷，切实维护参保群众合法权益，不断提升社保部门公信力。</w:t>
      </w:r>
    </w:p>
    <w:p w14:paraId="10BAC6C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二、存在的问题与不足</w:t>
      </w:r>
    </w:p>
    <w:p w14:paraId="4A1683D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（一）政策解读精细化水平仍需提升。</w:t>
      </w:r>
      <w:r>
        <w:rPr>
          <w:rFonts w:hint="eastAsia" w:ascii="仿宋_GB2312" w:hAnsi="仿宋_GB2312" w:eastAsia="仿宋_GB2312" w:cs="仿宋_GB2312"/>
          <w:sz w:val="32"/>
          <w:szCs w:val="32"/>
          <w:lang w:val="en-US" w:eastAsia="zh-CN"/>
        </w:rPr>
        <w:t>社保政策更新快、专业性强，面对灵活就业人员、新业态从业人员、城乡居民等不同群体，政策解读的针对性、通俗性、及时性仍有不足，部分群众对政策理解不够精准。</w:t>
      </w:r>
    </w:p>
    <w:p w14:paraId="2964DF0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（二）普法宣传精准化程度有待加强。</w:t>
      </w:r>
      <w:r>
        <w:rPr>
          <w:rFonts w:hint="eastAsia" w:ascii="仿宋_GB2312" w:hAnsi="仿宋_GB2312" w:eastAsia="仿宋_GB2312" w:cs="仿宋_GB2312"/>
          <w:sz w:val="32"/>
          <w:szCs w:val="32"/>
          <w:lang w:val="en-US" w:eastAsia="zh-CN"/>
        </w:rPr>
        <w:t>普法宣传形式仍偏传统，分众化、差异化、精准化普法做得不够，对企业负责人、参保群众、新业态群体等不同对象的普法供给与实际需求匹配度不高。</w:t>
      </w:r>
    </w:p>
    <w:p w14:paraId="6357B2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（三）依法行政能力仍需持续强化。</w:t>
      </w:r>
      <w:r>
        <w:rPr>
          <w:rFonts w:hint="eastAsia" w:ascii="仿宋_GB2312" w:hAnsi="仿宋_GB2312" w:eastAsia="仿宋_GB2312" w:cs="仿宋_GB2312"/>
          <w:sz w:val="32"/>
          <w:szCs w:val="32"/>
          <w:lang w:val="en-US" w:eastAsia="zh-CN"/>
        </w:rPr>
        <w:t>少数干部职工运用法治思维和法治方式处理复杂问题的能力还不够强，经办流程、内控执行、风险防范等方面仍存在细节不够严谨、标准不够统一的问题，法治化、精细化管理水平仍有提升空间。</w:t>
      </w:r>
    </w:p>
    <w:p w14:paraId="204669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三、2026年法治政府建设工作安排</w:t>
      </w:r>
    </w:p>
    <w:p w14:paraId="0E666A0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 年，我中心将继续坚持以习近平法治思想为引领，聚焦短板弱项，突出重点关键，持续用力、久久为功，全面提升社保领域法治政府建设水平。</w:t>
      </w:r>
    </w:p>
    <w:p w14:paraId="207DD4A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（一）突出政治引领，压实法治建设责任。</w:t>
      </w:r>
      <w:r>
        <w:rPr>
          <w:rFonts w:hint="eastAsia" w:ascii="仿宋_GB2312" w:hAnsi="仿宋_GB2312" w:eastAsia="仿宋_GB2312" w:cs="仿宋_GB2312"/>
          <w:sz w:val="32"/>
          <w:szCs w:val="32"/>
          <w:lang w:val="en-US" w:eastAsia="zh-CN"/>
        </w:rPr>
        <w:t>持续加强党对法治政府建设的全面领导，严格落实党政主要负责人履行推进法治建设第一责任人职责，进一步健全工作机制、细化责任分工、强化考核问效，把法治建设贯穿社保工作全过程，推动形成上下联动、齐抓共管的工作格局。</w:t>
      </w:r>
    </w:p>
    <w:p w14:paraId="7FF30B5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（二）突出精准普法，提升法治宣传实效。</w:t>
      </w:r>
      <w:r>
        <w:rPr>
          <w:rFonts w:hint="eastAsia" w:ascii="仿宋_GB2312" w:hAnsi="仿宋_GB2312" w:eastAsia="仿宋_GB2312" w:cs="仿宋_GB2312"/>
          <w:sz w:val="32"/>
          <w:szCs w:val="32"/>
          <w:lang w:val="en-US" w:eastAsia="zh-CN"/>
        </w:rPr>
        <w:t>开展分众化、精准化普法，针对企业、灵活就业人员、城乡居民、新业态劳动者等不同群体，定制普法内容，提升政策知晓度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创新普法形式，持续用好微信公众号、短视频、直播等新媒体平台，开展互动式、场景式、案例式普法，提高传播力和影响力。推进“政策进大厅、服务零距离”，由业务骨干现场讲解、现场演示、现场答疑，让群众听得懂、看得明、办得顺。</w:t>
      </w:r>
    </w:p>
    <w:p w14:paraId="42B4765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（三）突出制度完善，夯实依法行政基础。</w:t>
      </w:r>
      <w:r>
        <w:rPr>
          <w:rFonts w:hint="eastAsia" w:ascii="仿宋_GB2312" w:hAnsi="仿宋_GB2312" w:eastAsia="仿宋_GB2312" w:cs="仿宋_GB2312"/>
          <w:sz w:val="32"/>
          <w:szCs w:val="32"/>
          <w:lang w:val="en-US" w:eastAsia="zh-CN"/>
        </w:rPr>
        <w:t>持续完善社保经办、基金管理、内控监督、政务公开等制度体系，动态优化业务流程，强化流程管控和痕迹管理。优化灵活就业人员缴费方式，支持按月、按年灵活选择缴费，降低缴费门槛，做到应收尽收、应保尽保。强化制度执行监督，常态化开展自查自纠和专项检查，确保制度刚性运行。</w:t>
      </w:r>
    </w:p>
    <w:p w14:paraId="3929CC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（四）突出基金安全，强化风险法治防控。</w:t>
      </w:r>
      <w:r>
        <w:rPr>
          <w:rFonts w:hint="eastAsia" w:ascii="仿宋_GB2312" w:hAnsi="仿宋_GB2312" w:eastAsia="仿宋_GB2312" w:cs="仿宋_GB2312"/>
          <w:sz w:val="32"/>
          <w:szCs w:val="32"/>
          <w:lang w:val="en-US" w:eastAsia="zh-CN"/>
        </w:rPr>
        <w:t>持续深化跨部门数据共享比对，完善疑点数据核查处置机制，严厉打击欺诈骗保、违规领取待遇等行为，坚持依法追缴、闭环管理。持续加强警示教育和内控监督，筑牢基金安全“防火墙”，守护好人民群众</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 xml:space="preserve"> “养老钱”“保命钱”。</w:t>
      </w:r>
    </w:p>
    <w:p w14:paraId="35960D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（五）突出服务提质，优化法治化营商环境。</w:t>
      </w:r>
      <w:r>
        <w:rPr>
          <w:rFonts w:hint="eastAsia" w:ascii="仿宋_GB2312" w:hAnsi="仿宋_GB2312" w:eastAsia="仿宋_GB2312" w:cs="仿宋_GB2312"/>
          <w:sz w:val="32"/>
          <w:szCs w:val="32"/>
          <w:lang w:val="en-US" w:eastAsia="zh-CN"/>
        </w:rPr>
        <w:t>持续深化“放管服”改革，巩固提升“一网通办”“全区通办”“</w:t>
      </w:r>
      <w:r>
        <w:rPr>
          <w:rFonts w:hint="eastAsia" w:ascii="仿宋_GB2312" w:hAnsi="仿宋_GB2312" w:cs="仿宋_GB2312"/>
          <w:sz w:val="32"/>
          <w:szCs w:val="32"/>
          <w:lang w:val="en-US" w:eastAsia="zh-CN"/>
        </w:rPr>
        <w:t>高效办成一件事</w:t>
      </w:r>
      <w:r>
        <w:rPr>
          <w:rFonts w:hint="eastAsia" w:ascii="仿宋_GB2312" w:hAnsi="仿宋_GB2312" w:eastAsia="仿宋_GB2312" w:cs="仿宋_GB2312"/>
          <w:sz w:val="32"/>
          <w:szCs w:val="32"/>
          <w:lang w:val="en-US" w:eastAsia="zh-CN"/>
        </w:rPr>
        <w:t>”改革成果，不断简化流程、提升效率、优化服务。加强窗口标准化、规范化建设，提升依法服务、文明服务水平，以更高标准、更优服务、更实作风，推动法治政府建设与社保事业发展深度融合、相互促进。</w:t>
      </w:r>
    </w:p>
    <w:p w14:paraId="0922A3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杭锦后旗社会保险事业服务中心将始终坚持以人民为中心的发展思想，坚定不移走中国特色社会主义法治道路，以更高站位、更实举措、更严作风推进法治政府建设各项工作，不断提升依法行政、依法经办、依法服务水平，为保障参保群众合法权益、维护社会和谐稳定、推动全旗经济社会高质量发展作出新的更大贡献。</w:t>
      </w:r>
    </w:p>
    <w:p w14:paraId="112D063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14:paraId="25C2693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sz w:val="32"/>
          <w:szCs w:val="32"/>
          <w:lang w:val="en-US" w:eastAsia="zh-CN"/>
        </w:rPr>
      </w:pPr>
    </w:p>
    <w:p w14:paraId="6150F7B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108"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杭锦后旗社会保险事业服务中心</w:t>
      </w:r>
    </w:p>
    <w:p w14:paraId="64C9AF1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056" w:firstLineChars="1600"/>
        <w:jc w:val="both"/>
        <w:textAlignment w:val="auto"/>
        <w:rPr>
          <w:rFonts w:hint="eastAsia" w:ascii="黑体" w:hAnsi="黑体" w:eastAsia="黑体" w:cs="黑体"/>
          <w:b w:val="0"/>
          <w:bCs w:val="0"/>
          <w:sz w:val="32"/>
          <w:szCs w:val="32"/>
          <w:lang w:val="en-US" w:eastAsia="zh-CN"/>
        </w:rPr>
      </w:pPr>
      <w:r>
        <w:rPr>
          <w:rFonts w:hint="eastAsia" w:ascii="仿宋_GB2312" w:hAnsi="仿宋_GB2312" w:cs="仿宋_GB2312"/>
          <w:sz w:val="32"/>
          <w:szCs w:val="32"/>
          <w:lang w:val="en-US" w:eastAsia="zh-CN"/>
        </w:rPr>
        <w:t>2026</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b w:val="0"/>
          <w:bCs w:val="0"/>
          <w:sz w:val="32"/>
          <w:szCs w:val="32"/>
          <w:lang w:val="en-US" w:eastAsia="zh-CN"/>
        </w:rPr>
        <w:t xml:space="preserve"> </w:t>
      </w:r>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79B7B2-614F-46E1-B0D4-BFCC415F05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7F2230DE-1B9B-4D9B-B9D8-29BE66955A93}"/>
  </w:font>
  <w:font w:name="方正小标宋简体">
    <w:panose1 w:val="02000000000000000000"/>
    <w:charset w:val="86"/>
    <w:family w:val="auto"/>
    <w:pitch w:val="default"/>
    <w:sig w:usb0="00000001" w:usb1="08000000" w:usb2="00000000" w:usb3="00000000" w:csb0="00040000" w:csb1="00000000"/>
    <w:embedRegular r:id="rId3" w:fontKey="{6173BD5C-AA21-4EE8-BDED-C1BDB5075D62}"/>
  </w:font>
  <w:font w:name="楷体_GB2312">
    <w:altName w:val="楷体"/>
    <w:panose1 w:val="02010609030101010101"/>
    <w:charset w:val="86"/>
    <w:family w:val="auto"/>
    <w:pitch w:val="default"/>
    <w:sig w:usb0="00000000" w:usb1="00000000" w:usb2="00000000" w:usb3="00000000" w:csb0="00040000" w:csb1="00000000"/>
    <w:embedRegular r:id="rId4" w:fontKey="{7434C35C-83AE-4457-9879-B57F1AFDD57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B75C5"/>
    <w:rsid w:val="029075A4"/>
    <w:rsid w:val="0B2B75C5"/>
    <w:rsid w:val="304F1D8B"/>
    <w:rsid w:val="473A76E6"/>
    <w:rsid w:val="578B60AE"/>
    <w:rsid w:val="5E9B5ECD"/>
    <w:rsid w:val="713F0604"/>
    <w:rsid w:val="71972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2054674f-4ef7-4e04-96a6-00847cce849c}">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3700</Words>
  <Characters>3734</Characters>
  <Lines>0</Lines>
  <Paragraphs>0</Paragraphs>
  <TotalTime>68</TotalTime>
  <ScaleCrop>false</ScaleCrop>
  <LinksUpToDate>false</LinksUpToDate>
  <CharactersWithSpaces>3737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2026-03-10T01:45:00Z</dcterms:created>
  <dc:creator>Alice</dc:creator>
  <cp:lastModifiedBy> 敏儿</cp:lastModifiedBy>
  <cp:lastPrinted>2026-03-10T09:01:00Z</cp:lastPrinted>
  <dcterms:modified xsi:type="dcterms:W3CDTF">2026-03-25T09:40:39Z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E26C700ED491482494E226A7AD8E7ED8_13</vt:lpwstr>
  </property>
  <property fmtid="{D5CDD505-2E9C-101B-9397-08002B2CF9AE}" pid="4" name="KSOTemplateDocerSaveRecord">
    <vt:lpwstr>eyJoZGlkIjoiYjlhZTkxYzk5YzdhMDJmZGQzNTVmNmQ3OTM2NmE4N2IiLCJ1c2VySWQiOiI0NTQ4MDMxNzQifQ==</vt:lpwstr>
  </property>
</Properties>
</file>