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5A4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44"/>
          <w:szCs w:val="44"/>
          <w:lang w:val="en-US" w:eastAsia="zh-CN"/>
        </w:rPr>
      </w:pPr>
    </w:p>
    <w:p w14:paraId="4CDB6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杭锦后旗卫生健康委员会</w:t>
      </w:r>
      <w:r>
        <w:rPr>
          <w:rFonts w:hint="eastAsia" w:ascii="黑体" w:hAnsi="黑体" w:eastAsia="黑体" w:cs="黑体"/>
          <w:sz w:val="44"/>
          <w:szCs w:val="44"/>
          <w:lang w:eastAsia="zh-CN"/>
        </w:rPr>
        <w:t>2025</w:t>
      </w:r>
      <w:r>
        <w:rPr>
          <w:rFonts w:hint="eastAsia" w:ascii="黑体" w:hAnsi="黑体" w:eastAsia="黑体" w:cs="黑体"/>
          <w:sz w:val="44"/>
          <w:szCs w:val="44"/>
        </w:rPr>
        <w:t>年度法治</w:t>
      </w:r>
    </w:p>
    <w:p w14:paraId="45D04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rPr>
      </w:pPr>
      <w:r>
        <w:rPr>
          <w:rFonts w:hint="eastAsia" w:ascii="黑体" w:hAnsi="黑体" w:eastAsia="黑体" w:cs="黑体"/>
          <w:sz w:val="44"/>
          <w:szCs w:val="44"/>
        </w:rPr>
        <w:t>政府建设情况报告</w:t>
      </w:r>
    </w:p>
    <w:p w14:paraId="048F71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984F3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杭锦后旗卫健委</w:t>
      </w:r>
      <w:r>
        <w:rPr>
          <w:rFonts w:hint="eastAsia" w:ascii="仿宋_GB2312" w:hAnsi="仿宋_GB2312" w:eastAsia="仿宋_GB2312" w:cs="仿宋_GB2312"/>
          <w:sz w:val="32"/>
          <w:szCs w:val="32"/>
        </w:rPr>
        <w:t>坚持以习近平新时代中国特色社会主义思想为指导，全面学习贯彻党的二十大及二十届二中、三中全会精神，深入践行习近平法治思想和习近平总书记关于卫生健康工作的重要论述，围绕健康</w:t>
      </w: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建设和卫生健康事业高质量发展目标，扎实推进法治政府建设各项任务，依法履行部门职能，为全旗卫生健康事业发展提供坚实法治保障。现将本年度工作情况报告如下：</w:t>
      </w:r>
    </w:p>
    <w:p w14:paraId="2321B4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2025</w:t>
      </w:r>
      <w:r>
        <w:rPr>
          <w:rFonts w:hint="eastAsia" w:ascii="黑体" w:hAnsi="黑体" w:eastAsia="黑体" w:cs="黑体"/>
          <w:sz w:val="32"/>
          <w:szCs w:val="32"/>
        </w:rPr>
        <w:t>年度推进法治政府建设的主要举措及成效</w:t>
      </w:r>
    </w:p>
    <w:p w14:paraId="6574E4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（一）强化思想引领，压实法治建设责任</w:t>
      </w:r>
    </w:p>
    <w:p w14:paraId="5A2B2D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深化理论武装。</w:t>
      </w:r>
      <w:r>
        <w:rPr>
          <w:rFonts w:hint="eastAsia" w:ascii="仿宋_GB2312" w:hAnsi="仿宋_GB2312" w:eastAsia="仿宋_GB2312" w:cs="仿宋_GB2312"/>
          <w:sz w:val="32"/>
          <w:szCs w:val="32"/>
        </w:rPr>
        <w:t>将学习贯彻习近平法治思想作为重大政治任务，纳入党组理论学习中心组年度学习计划，组织专题学习研讨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次，重点学习</w:t>
      </w:r>
      <w:r>
        <w:rPr>
          <w:rFonts w:hint="eastAsia" w:ascii="仿宋_GB2312" w:hAnsi="仿宋_GB2312" w:eastAsia="仿宋_GB2312" w:cs="仿宋_GB2312"/>
          <w:sz w:val="32"/>
          <w:szCs w:val="32"/>
          <w:lang w:eastAsia="zh-CN"/>
        </w:rPr>
        <w:t>《中华人民共和国宪法》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中华人民共和国基本医疗卫生与健康促进法</w:t>
      </w:r>
      <w:r>
        <w:rPr>
          <w:rFonts w:hint="eastAsia" w:ascii="仿宋_GB2312" w:hAnsi="仿宋_GB2312" w:eastAsia="仿宋_GB2312" w:cs="仿宋_GB2312"/>
          <w:sz w:val="32"/>
          <w:szCs w:val="32"/>
        </w:rPr>
        <w:t>》等法律法规，推动“一规划两纲要”落地见效。委主要负责人讲授法治党课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场，带头践行法治精神，引导干部职工增强法治意识。</w:t>
      </w:r>
    </w:p>
    <w:p w14:paraId="22B42B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健全工作机制。</w:t>
      </w:r>
      <w:r>
        <w:rPr>
          <w:rFonts w:hint="eastAsia" w:ascii="仿宋_GB2312" w:hAnsi="仿宋_GB2312" w:eastAsia="仿宋_GB2312" w:cs="仿宋_GB2312"/>
          <w:sz w:val="32"/>
          <w:szCs w:val="32"/>
        </w:rPr>
        <w:t>调整完善法治政府建设工作领导小组，由党组书记、主任任组长，班子成员任副组长，各科室及医疗卫生机构负责人为成员，形成“主要领导亲自抓、分管领导具体抓、科室协同抓”的工作格局。制定印发《</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年法治建设工作要点》，将法治建设纳入年度考核和领导干部述职内容，明确任务清单与责任分工。</w:t>
      </w:r>
    </w:p>
    <w:p w14:paraId="23A7B2A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规范决策程序。</w:t>
      </w:r>
      <w:r>
        <w:rPr>
          <w:rFonts w:hint="eastAsia" w:ascii="仿宋_GB2312" w:hAnsi="仿宋_GB2312" w:eastAsia="仿宋_GB2312" w:cs="仿宋_GB2312"/>
          <w:sz w:val="32"/>
          <w:szCs w:val="32"/>
        </w:rPr>
        <w:t>严格执行重大行政决策程序，对“三重一大”事项实行集体讨论和一把手末位表态制，所有重大决策均经过公众参与、专家论证、风险评估、合法性审查等环节，全年未发生违法决策情况。聘用法律顾问参与</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审核，确保决策合法合规。</w:t>
      </w:r>
    </w:p>
    <w:p w14:paraId="021887D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（二）夯实法治基础，提升依法行政能力</w:t>
      </w:r>
    </w:p>
    <w:p w14:paraId="532486F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优化政务服务。</w:t>
      </w:r>
      <w:r>
        <w:rPr>
          <w:rFonts w:hint="eastAsia" w:ascii="仿宋_GB2312" w:hAnsi="仿宋_GB2312" w:eastAsia="仿宋_GB2312" w:cs="仿宋_GB2312"/>
          <w:sz w:val="32"/>
          <w:szCs w:val="32"/>
        </w:rPr>
        <w:t>深化“放管服”改革，推行“一网通办”和“证照分离”改革，梳理权责清单</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项，其中行政许可14项、行政处罚</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项等，实现“清单之外无证明”。公共场所卫生许可证等事项实行“一站式受理、即收即办”，全年办理诊所备案、医师注册、卫生许可证等各类审批服务事项80余件，群众办事效率显著提升。</w:t>
      </w:r>
    </w:p>
    <w:p w14:paraId="3433E5E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强化执法规范。</w:t>
      </w:r>
      <w:r>
        <w:rPr>
          <w:rFonts w:hint="eastAsia" w:ascii="仿宋_GB2312" w:hAnsi="仿宋_GB2312" w:eastAsia="仿宋_GB2312" w:cs="仿宋_GB2312"/>
          <w:sz w:val="32"/>
          <w:szCs w:val="32"/>
        </w:rPr>
        <w:t>全面落实行政执法“三项制度”，制定重大执法决定法制审核事项清单，实现执法信息公开、过程留痕、决定合法有效。推进“双随机、一公开”监管，全年抽检医疗机构、公共场所等单位</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家，结果均通过政府门户网站公示。严格执行“双公示”制度，全年上传行政许可信息56条至公共信用信息平台。</w:t>
      </w:r>
    </w:p>
    <w:p w14:paraId="666F0B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建强执法队伍。</w:t>
      </w:r>
      <w:r>
        <w:rPr>
          <w:rFonts w:hint="eastAsia" w:ascii="仿宋_GB2312" w:hAnsi="仿宋_GB2312" w:eastAsia="仿宋_GB2312" w:cs="仿宋_GB2312"/>
          <w:sz w:val="32"/>
          <w:szCs w:val="32"/>
        </w:rPr>
        <w:t>开展行政执法人员专项培训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次，覆盖全旗</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名卫健执法人员，其中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人通过行政执法考试取得执法证。</w:t>
      </w:r>
    </w:p>
    <w:p w14:paraId="6862F5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（三）聚焦重点领域，强化执法监管效能</w:t>
      </w:r>
    </w:p>
    <w:p w14:paraId="081187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深化专项执法。</w:t>
      </w:r>
      <w:r>
        <w:rPr>
          <w:rFonts w:hint="eastAsia" w:ascii="仿宋_GB2312" w:hAnsi="仿宋_GB2312" w:eastAsia="仿宋_GB2312" w:cs="仿宋_GB2312"/>
          <w:sz w:val="32"/>
          <w:szCs w:val="32"/>
        </w:rPr>
        <w:t>全年开展医疗机构日常监管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次，公共场所</w:t>
      </w:r>
      <w:r>
        <w:rPr>
          <w:rFonts w:hint="eastAsia" w:ascii="仿宋_GB2312" w:hAnsi="仿宋_GB2312" w:eastAsia="仿宋_GB2312" w:cs="仿宋_GB2312"/>
          <w:sz w:val="32"/>
          <w:szCs w:val="32"/>
          <w:lang w:val="en-US" w:eastAsia="zh-CN"/>
        </w:rPr>
        <w:t>督查514次</w:t>
      </w:r>
      <w:r>
        <w:rPr>
          <w:rFonts w:hint="eastAsia" w:ascii="仿宋_GB2312" w:hAnsi="仿宋_GB2312" w:eastAsia="仿宋_GB2312" w:cs="仿宋_GB2312"/>
          <w:sz w:val="32"/>
          <w:szCs w:val="32"/>
        </w:rPr>
        <w:t>，组织职业卫生监督执法16次，检查集中式供水单位2次。联合教育、市场监管等部门，对5所中小学开展鼠疫防控监督检查6次，实现重点领域监管覆盖率100%。</w:t>
      </w:r>
    </w:p>
    <w:p w14:paraId="5612BFC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规范案件办理。</w:t>
      </w:r>
      <w:r>
        <w:rPr>
          <w:rFonts w:hint="eastAsia" w:ascii="仿宋_GB2312" w:hAnsi="仿宋_GB2312" w:eastAsia="仿宋_GB2312" w:cs="仿宋_GB2312"/>
          <w:sz w:val="32"/>
          <w:szCs w:val="32"/>
        </w:rPr>
        <w:t>全年共办理行政处罚案件1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起，罚没款金额</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万元，全部结案；下达卫生监督执法文书</w:t>
      </w:r>
      <w:r>
        <w:rPr>
          <w:rFonts w:hint="eastAsia" w:ascii="仿宋_GB2312" w:hAnsi="仿宋_GB2312" w:eastAsia="仿宋_GB2312" w:cs="仿宋_GB2312"/>
          <w:sz w:val="32"/>
          <w:szCs w:val="32"/>
          <w:lang w:val="en-US" w:eastAsia="zh-CN"/>
        </w:rPr>
        <w:t>532</w:t>
      </w:r>
      <w:r>
        <w:rPr>
          <w:rFonts w:hint="eastAsia" w:ascii="仿宋_GB2312" w:hAnsi="仿宋_GB2312" w:eastAsia="仿宋_GB2312" w:cs="仿宋_GB2312"/>
          <w:sz w:val="32"/>
          <w:szCs w:val="32"/>
        </w:rPr>
        <w:t>份，有效规范了行业秩序。建立行政执法案卷评查机制，定期开展自查自纠，及时纠正执法不规范问题。</w:t>
      </w:r>
    </w:p>
    <w:p w14:paraId="0BB916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（四）创新普法宣传，营造法治浓厚氛围</w:t>
      </w:r>
    </w:p>
    <w:p w14:paraId="036C5EE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落实普法责任。</w:t>
      </w:r>
      <w:r>
        <w:rPr>
          <w:rFonts w:hint="eastAsia" w:ascii="仿宋_GB2312" w:hAnsi="仿宋_GB2312" w:eastAsia="仿宋_GB2312" w:cs="仿宋_GB2312"/>
          <w:sz w:val="32"/>
          <w:szCs w:val="32"/>
        </w:rPr>
        <w:t>制定“谁执法谁普法、谁主管谁普法、谁服务谁普法”年度责任清单，将普法融入执法全过程，推行“检查+普法、处罚+普法”模式，在执法中精准普及法律法规。</w:t>
      </w:r>
    </w:p>
    <w:p w14:paraId="643768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丰富宣传形式。</w:t>
      </w:r>
      <w:r>
        <w:rPr>
          <w:rFonts w:hint="eastAsia" w:ascii="仿宋_GB2312" w:hAnsi="仿宋_GB2312" w:eastAsia="仿宋_GB2312" w:cs="仿宋_GB2312"/>
          <w:sz w:val="32"/>
          <w:szCs w:val="32"/>
        </w:rPr>
        <w:t>借助“国家宪法日”“职业病防治法宣传周”等12个时间节点，开展线下普法活动12次，发放宣传资料8000余份，解答群众咨询2000余人次。通过微信公众号推送普法信息12条，利用新媒体扩大宣传覆盖面。</w:t>
      </w:r>
    </w:p>
    <w:p w14:paraId="5F75B3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强化群体教育。</w:t>
      </w:r>
      <w:r>
        <w:rPr>
          <w:rFonts w:hint="eastAsia" w:ascii="仿宋_GB2312" w:hAnsi="仿宋_GB2312" w:eastAsia="仿宋_GB2312" w:cs="仿宋_GB2312"/>
          <w:sz w:val="32"/>
          <w:szCs w:val="32"/>
        </w:rPr>
        <w:t>针对医务人员、公共场所从业人员等开展专项培训3次，组织村医培训4次，提升行业人员依法执业、守法经营意识。公职人员学法参学率、参考率、达标率均达100%。</w:t>
      </w:r>
    </w:p>
    <w:p w14:paraId="0CB4EEA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（五）化解矛盾纠纷，维护社会和谐稳定</w:t>
      </w:r>
    </w:p>
    <w:p w14:paraId="652156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践行新时代“枫桥经验”，健全投诉举报受理制</w:t>
      </w:r>
      <w:bookmarkStart w:id="0" w:name="_GoBack"/>
      <w:bookmarkEnd w:id="0"/>
      <w:r>
        <w:rPr>
          <w:rFonts w:hint="eastAsia" w:ascii="仿宋_GB2312" w:hAnsi="仿宋_GB2312" w:eastAsia="仿宋_GB2312" w:cs="仿宋_GB2312"/>
          <w:sz w:val="32"/>
          <w:szCs w:val="32"/>
        </w:rPr>
        <w:t>度，全年受理12345即诉即办工单</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条，办结</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条，三率均为100%，及时化解医疗机构执业、公共场所卫生等领域矛盾纠纷。成立医疗纠纷人民调解委员会，规范纠纷处置流程，将矛盾化解在基层。落实行政机关负责人出庭应诉制度，全年无行政复议、行政诉讼案件发生。</w:t>
      </w:r>
    </w:p>
    <w:p w14:paraId="6CB875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二、主要负责人履行推进法治建设第一责任人职责情况</w:t>
      </w:r>
    </w:p>
    <w:p w14:paraId="709D4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主要负责人严格履行法治建设第一责任人职责，将法治建设纳入党组重要议事日程，做到“重要工作亲自部署、重大问题亲自过问、重点环节亲自协调、重要任务亲自督办”。全年召开党组会议专题研究法治建设工作4次，审议法治建设要点、执法案件等重大事项；带队开展执法监督检查3次，协调解决跨部门执法联动等难点问题。班子成员落实“一岗双责”，分管领域法治建设任务均按期完成，形成一级抓一级、层层抓落实的工作格局。</w:t>
      </w:r>
    </w:p>
    <w:p w14:paraId="12785B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三、存在的不足及原因分析</w:t>
      </w:r>
    </w:p>
    <w:p w14:paraId="22DA76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（一）主要不足</w:t>
      </w:r>
    </w:p>
    <w:p w14:paraId="46ADA78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执法队伍专业能力有待提升。</w:t>
      </w:r>
      <w:r>
        <w:rPr>
          <w:rFonts w:hint="eastAsia" w:ascii="仿宋_GB2312" w:hAnsi="仿宋_GB2312" w:eastAsia="仿宋_GB2312" w:cs="仿宋_GB2312"/>
          <w:sz w:val="32"/>
          <w:szCs w:val="32"/>
        </w:rPr>
        <w:t>现有行政执法人员中，具备法律或卫生专业背景的人才缺口较大，部分人员执法精准度和文书撰写规范性不足。</w:t>
      </w:r>
    </w:p>
    <w:p w14:paraId="39C9EA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普法宣传实效性需加强。</w:t>
      </w:r>
      <w:r>
        <w:rPr>
          <w:rFonts w:hint="eastAsia" w:ascii="仿宋_GB2312" w:hAnsi="仿宋_GB2312" w:eastAsia="仿宋_GB2312" w:cs="仿宋_GB2312"/>
          <w:sz w:val="32"/>
          <w:szCs w:val="32"/>
        </w:rPr>
        <w:t>普法形式仍以传统方式为主，针对基层群众、农牧民的“接地气”宣传内容偏少，案例普法、精准普法力度不足，未能完全满足群众法律需求。</w:t>
      </w:r>
    </w:p>
    <w:p w14:paraId="1B29A59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（二）原因分析</w:t>
      </w:r>
    </w:p>
    <w:p w14:paraId="7E4B12C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人才引育机制不完善。</w:t>
      </w:r>
      <w:r>
        <w:rPr>
          <w:rFonts w:hint="eastAsia" w:ascii="仿宋_GB2312" w:hAnsi="仿宋_GB2312" w:eastAsia="仿宋_GB2312" w:cs="仿宋_GB2312"/>
          <w:sz w:val="32"/>
          <w:szCs w:val="32"/>
        </w:rPr>
        <w:t>受编制、待遇等因素限制，难以吸引法律、卫生执法等专业人才，现有人员培训针对性和深度不足，能力提升缓慢。</w:t>
      </w:r>
    </w:p>
    <w:p w14:paraId="4FE138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普法工作统筹力度不足。</w:t>
      </w:r>
      <w:r>
        <w:rPr>
          <w:rFonts w:hint="eastAsia" w:ascii="仿宋_GB2312" w:hAnsi="仿宋_GB2312" w:eastAsia="仿宋_GB2312" w:cs="仿宋_GB2312"/>
          <w:sz w:val="32"/>
          <w:szCs w:val="32"/>
        </w:rPr>
        <w:t>对不同群体法律需求调研不充分，宣传内容与群众实际需求结合不够紧密，新媒体宣传形式创新不足，传播力有限。</w:t>
      </w:r>
    </w:p>
    <w:p w14:paraId="5955E5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四、2025年度推进法治政府建设的主要安排</w:t>
      </w:r>
    </w:p>
    <w:p w14:paraId="08D58AE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（一）深化法治能力建设</w:t>
      </w:r>
    </w:p>
    <w:p w14:paraId="06A0E41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加强人才队伍建设。</w:t>
      </w:r>
      <w:r>
        <w:rPr>
          <w:rFonts w:hint="eastAsia" w:ascii="仿宋_GB2312" w:hAnsi="仿宋_GB2312" w:eastAsia="仿宋_GB2312" w:cs="仿宋_GB2312"/>
          <w:sz w:val="32"/>
          <w:szCs w:val="32"/>
        </w:rPr>
        <w:t>制定执法人员专项培训计划，组织执法人员参加上级业务培训。</w:t>
      </w:r>
    </w:p>
    <w:p w14:paraId="3145EEF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提升决策规范化水平。</w:t>
      </w:r>
      <w:r>
        <w:rPr>
          <w:rFonts w:hint="eastAsia" w:ascii="仿宋_GB2312" w:hAnsi="仿宋_GB2312" w:eastAsia="仿宋_GB2312" w:cs="仿宋_GB2312"/>
          <w:sz w:val="32"/>
          <w:szCs w:val="32"/>
        </w:rPr>
        <w:t>完善重大行政决策合法性审查机制，扩大法律顾问参与决策的广度和深度，每季度开展1次决策执行情况评估，确保决策落地见效。</w:t>
      </w:r>
    </w:p>
    <w:p w14:paraId="3191DCE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（二）创新普法宣传模式</w:t>
      </w:r>
    </w:p>
    <w:p w14:paraId="634656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开展精准普法。</w:t>
      </w:r>
      <w:r>
        <w:rPr>
          <w:rFonts w:hint="eastAsia" w:ascii="仿宋_GB2312" w:hAnsi="仿宋_GB2312" w:eastAsia="仿宋_GB2312" w:cs="仿宋_GB2312"/>
          <w:sz w:val="32"/>
          <w:szCs w:val="32"/>
        </w:rPr>
        <w:t>针对医疗机构、公共场所经营者、农牧民等不同群体，定制普法内容，通过“普法进社区、进乡村、进机构”等活动，开展案例宣讲，发放特色宣传资料。</w:t>
      </w:r>
    </w:p>
    <w:p w14:paraId="1A07F5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丰富宣传载体。</w:t>
      </w:r>
      <w:r>
        <w:rPr>
          <w:rFonts w:hint="eastAsia" w:ascii="仿宋_GB2312" w:hAnsi="仿宋_GB2312" w:eastAsia="仿宋_GB2312" w:cs="仿宋_GB2312"/>
          <w:sz w:val="32"/>
          <w:szCs w:val="32"/>
        </w:rPr>
        <w:t>升级微信公众号普法功能，开设“法治课堂”“案例解读”专栏，每月推送普法内容。</w:t>
      </w:r>
    </w:p>
    <w:p w14:paraId="7F2D8D5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（三）推进执法规范化与智能化</w:t>
      </w:r>
    </w:p>
    <w:p w14:paraId="2430BB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强化执法监管。</w:t>
      </w:r>
      <w:r>
        <w:rPr>
          <w:rFonts w:hint="eastAsia" w:ascii="仿宋_GB2312" w:hAnsi="仿宋_GB2312" w:eastAsia="仿宋_GB2312" w:cs="仿宋_GB2312"/>
          <w:sz w:val="32"/>
          <w:szCs w:val="32"/>
        </w:rPr>
        <w:t>聚焦医疗美容、放射卫生、预防接种等重点领域，开展专项执法行动，加大对“屡禁不止、屡罚不改”行为的惩戒力度。严格落实执法“三项制度”，每半年开展1次案卷评查，规范执法文书和办案流程。</w:t>
      </w:r>
    </w:p>
    <w:p w14:paraId="335BC6E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加快智慧执法建设。</w:t>
      </w:r>
      <w:r>
        <w:rPr>
          <w:rFonts w:hint="eastAsia" w:ascii="仿宋_GB2312" w:hAnsi="仿宋_GB2312" w:eastAsia="仿宋_GB2312" w:cs="仿宋_GB2312"/>
          <w:sz w:val="32"/>
          <w:szCs w:val="32"/>
        </w:rPr>
        <w:t>争取资金支持，配备执法记录仪、移动执法终端等设备，推进“智慧卫监”平台建设，实现执法数据与市场监管、公安等部门共享，提升跨部门协同监管效能。</w:t>
      </w:r>
    </w:p>
    <w:p w14:paraId="659D01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（四）健全矛盾化解机制</w:t>
      </w:r>
    </w:p>
    <w:p w14:paraId="41B68E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完善医疗纠纷多元化解机制，加强与司法、信访等部门联动，开展医疗纠纷预防培训。优化12345工单处置流程，实现平均办结时限缩短10%，力争矛盾纠纷化解率达98%以上。</w:t>
      </w:r>
    </w:p>
    <w:p w14:paraId="175AC7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卫生健康委员会将以2025年工作安排为抓手，持续补短板、强弱项，不断提升法治政府建设水平，为全旗卫生健康事业高质量发展筑牢法治根基。</w:t>
      </w:r>
    </w:p>
    <w:p w14:paraId="1C7A08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2C198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C564D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68C2C80">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卫生健康委员会</w:t>
      </w:r>
    </w:p>
    <w:p w14:paraId="6B1E9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72183"/>
    <w:rsid w:val="24630A0A"/>
    <w:rsid w:val="3509378F"/>
    <w:rsid w:val="51AD660D"/>
    <w:rsid w:val="54472183"/>
    <w:rsid w:val="738477B6"/>
    <w:rsid w:val="7FB5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daae912e-9fbc-4d61-80d6-1f034f3f03a5</errorID>
      <errorWord>《宪法》</errorWord>
      <group>L1_Word</group>
      <groupName>字词问题</groupName>
      <ability>L2_Typo</ability>
      <abilityName>字词错误</abilityName>
      <candidateList>
        <item>《中华人民共和国宪法》</item>
      </candidateList>
      <explain/>
      <paraID>5A2B2D90</paraID>
      <start>64</start>
      <end>75</end>
      <status>modified</status>
      <modifiedWord>《中华人民共和国宪法》</modifiedWord>
      <trackRevisions>false</trackRevisions>
    </reviewItem>
    <reviewItem>
      <errorID>81e7b62b-c4b0-4d29-8393-3b2cccf25f06</errorID>
      <errorWord>基本医疗卫生与健康促进法</errorWord>
      <group>L1_Knowledge</group>
      <groupName>知识性问题</groupName>
      <ability>L2_Knowledge</ability>
      <abilityName>其他知识</abilityName>
      <candidateList>
        <item>中华人民共和国基本医疗卫生与健康促进法</item>
      </candidateList>
      <explain>当前法律法规名称使用简称，请注意是否应当使用全称。</explain>
      <paraID>5A2B2D90</paraID>
      <start>76</start>
      <end>95</end>
      <status>modified</status>
      <modifiedWord>中华人民共和国基本医疗卫生与健康促进法</modifiedWord>
      <trackRevisions>false</trackRevisions>
    </reviewItem>
    <reviewItem>
      <errorID>0d678e50-6de7-4364-8614-3fa350352719</errorID>
      <errorWord>法制</errorWord>
      <group>L1_Word</group>
      <groupName>字词问题</groupName>
      <ability>L2_Typo</ability>
      <abilityName>字词错误</abilityName>
      <candidateList>
        <item>法治</item>
      </candidateList>
      <explain/>
      <paraID>23A7B2AC</paraID>
      <start>101</start>
      <end>103</end>
      <status>modified</status>
      <modifiedWord>法治</modifiedWord>
      <trackRevisions>false</trackRevisions>
    </reviewItem>
    <reviewItem>
      <errorID>8c273ef9-fef8-42c4-8f80-617382bc8709</errorID>
      <errorWord>诉</errorWord>
      <group>L1_Word</group>
      <groupName>字词问题</groupName>
      <ability>L2_Typo</ability>
      <abilityName>字词错误</abilityName>
      <candidateList>
        <item>接</item>
      </candidateList>
      <explain/>
      <paraID>6521560A</paraID>
      <start>33</start>
      <end>34</end>
      <status>ignored</status>
      <modifiedWord/>
      <trackRevisions>false</trackRevisions>
    </reviewItem>
  </reviewItems>
  <config/>
</contractReview>
</file>

<file path=customXml/itemProps1.xml><?xml version="1.0" encoding="utf-8"?>
<ds:datastoreItem xmlns:ds="http://schemas.openxmlformats.org/officeDocument/2006/customXml" ds:itemID="{6ef25f87-dec4-4f89-8bbc-487c4b6a5af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2774</Words>
  <Characters>2867</Characters>
  <Lines>0</Lines>
  <Paragraphs>0</Paragraphs>
  <TotalTime>14</TotalTime>
  <ScaleCrop>false</ScaleCrop>
  <LinksUpToDate>false</LinksUpToDate>
  <CharactersWithSpaces>2919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2025-10-21T03:06:00Z</dcterms:created>
  <dc:creator>柒柒</dc:creator>
  <cp:lastModifiedBy> 敏儿</cp:lastModifiedBy>
  <dcterms:modified xsi:type="dcterms:W3CDTF">2026-03-24T09:11:15Z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997301C8E0784E92B13FF3B251BCED1C_13</vt:lpwstr>
  </property>
  <property fmtid="{D5CDD505-2E9C-101B-9397-08002B2CF9AE}" pid="4" name="KSOTemplateDocerSaveRecord">
    <vt:lpwstr>eyJoZGlkIjoiYjlhZTkxYzk5YzdhMDJmZGQzNTVmNmQ3OTM2NmE4N2IiLCJ1c2VySWQiOiI0NTQ4MDMxNzQifQ==</vt:lpwstr>
  </property>
</Properties>
</file>