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9F9B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mallCaps w:val="0"/>
          <w:kern w:val="2"/>
          <w:sz w:val="44"/>
          <w:szCs w:val="44"/>
          <w:lang w:val="en-US" w:eastAsia="zh-CN" w:bidi="ar-SA"/>
        </w:rPr>
      </w:pPr>
    </w:p>
    <w:p w14:paraId="028236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Times New Roman"/>
          <w:b/>
          <w:bCs/>
          <w:i w:val="0"/>
          <w:iCs w:val="0"/>
          <w:caps w:val="0"/>
          <w:color w:val="auto"/>
          <w:spacing w:val="0"/>
          <w:kern w:val="2"/>
          <w:sz w:val="44"/>
          <w:szCs w:val="44"/>
          <w:shd w:val="clear" w:fill="FFFFFF"/>
          <w:lang w:val="en-US" w:eastAsia="zh-CN" w:bidi="ar-SA"/>
        </w:rPr>
      </w:pPr>
      <w:r>
        <w:rPr>
          <w:rFonts w:hint="eastAsia" w:ascii="Times New Roman" w:hAnsi="Times New Roman" w:eastAsia="黑体" w:cs="Times New Roman"/>
          <w:b/>
          <w:bCs/>
          <w:i w:val="0"/>
          <w:iCs w:val="0"/>
          <w:caps w:val="0"/>
          <w:color w:val="auto"/>
          <w:spacing w:val="0"/>
          <w:kern w:val="2"/>
          <w:sz w:val="44"/>
          <w:szCs w:val="44"/>
          <w:shd w:val="clear" w:fill="FFFFFF"/>
          <w:lang w:val="en-US" w:eastAsia="zh-CN" w:bidi="ar-SA"/>
        </w:rPr>
        <w:t>杭锦后旗农牧和科技局2025年度法治政府建设情况报告</w:t>
      </w:r>
    </w:p>
    <w:p w14:paraId="72445C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黑体" w:cs="Times New Roman"/>
          <w:b/>
          <w:bCs/>
          <w:i w:val="0"/>
          <w:iCs w:val="0"/>
          <w:caps w:val="0"/>
          <w:color w:val="auto"/>
          <w:spacing w:val="0"/>
          <w:kern w:val="2"/>
          <w:sz w:val="44"/>
          <w:szCs w:val="44"/>
          <w:shd w:val="clear" w:fill="FFFFFF"/>
          <w:lang w:val="en-US" w:eastAsia="zh-CN" w:bidi="ar-SA"/>
        </w:rPr>
      </w:pPr>
    </w:p>
    <w:p w14:paraId="3D2B9C5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2025年，杭锦后旗农牧和科技局坚持以习近平新时代中国特色社会主义思想为指导，深入贯彻习近平法治思想和关于“三农”工作的重要论述，紧扣法治政府建设总体部署，将法治思维与应急管理深度融合，以“法治护航安全、科技赋能发展”为主线，统筹推进依法行政、应急体系建设、科技服务等重点工作，为全旗农牧业高质量发展提供坚实保障。现将年度工作情况报告如下：</w:t>
      </w:r>
    </w:p>
    <w:p w14:paraId="2CD0EE3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一、强化组织领导，压实法治建设责任</w:t>
      </w:r>
    </w:p>
    <w:p w14:paraId="61FC215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1.落实第一责任人职责</w:t>
      </w:r>
    </w:p>
    <w:p w14:paraId="44B82B4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局党组书记、局长切实履行推进法治建设第一责任人职责，将法治政府建设纳入年度工作要点、党组议事日程和考核体系，与农牧业应急管理、科技服务等业务工作同部署、同推进、同考核。全年召开法治专题会议6次，协调解决《中华人民共和国种子法》执法衔接、应急处置程序规范等重大问题12项。</w:t>
      </w:r>
    </w:p>
    <w:p w14:paraId="6B2DEBF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2.健全法治工作机制</w:t>
      </w:r>
    </w:p>
    <w:p w14:paraId="1132339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构建“党组领导、股室负责、全员参与”工作格局，明确分管领导及政策法规股为法治工作责任主体，细化《2025年法治政府建设任务清单》，涵盖行政执法、普法宣传、规范性文件审查等28项具体任务，形成上下联动、齐抓共管的工作合力。</w:t>
      </w:r>
    </w:p>
    <w:p w14:paraId="57E436F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组织干部职工系统学习</w:t>
      </w:r>
    </w:p>
    <w:p w14:paraId="76ED24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习近平法治思想、《中华人民共和国宪法》《中华人民共和国民法典》及《中华人民共和国农业法》《中华人民共和国种子法》《中华人民共和国农产品质量安全法》《中华人民共和国科学技术进步法》等法律法规，全年开展专题培训8次、知识测试4次，覆盖干部职工200余人次，执法人员持证上岗率达100%。</w:t>
      </w:r>
    </w:p>
    <w:p w14:paraId="444D6573">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二、规范行政执法，提升治理效能</w:t>
      </w:r>
    </w:p>
    <w:p w14:paraId="3DB3022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1.严格执法程序</w:t>
      </w:r>
    </w:p>
    <w:p w14:paraId="413F8D0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制定《农牧业行政执法流程图》，规范行政检查、行政处罚等流程，推行“双随机、一公开”监管，全年开展农资市场专项检查26次，查处违法案件15起，未发生行政复议或行政诉讼案件。</w:t>
      </w:r>
    </w:p>
    <w:p w14:paraId="30EEF06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2.优化法律服务</w:t>
      </w:r>
    </w:p>
    <w:p w14:paraId="23076F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设立“农牧业法律服务站”，为农民提供法律咨询、纠纷调解等服务，全年受理涉农法律纠纷23件，调解成功率达95%；推行“首违不罚”柔性执法机制，对轻微违法行为不予处罚并加强教育引导，提升执法温度。</w:t>
      </w:r>
    </w:p>
    <w:p w14:paraId="7E3A979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3.强化普法宣传</w:t>
      </w:r>
    </w:p>
    <w:p w14:paraId="282CC8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eastAsia" w:ascii="Times New Roman" w:hAnsi="Times New Roman" w:eastAsia="仿宋_GB2312" w:cs="Times New Roman"/>
          <w:b w:val="0"/>
          <w:i w:val="0"/>
          <w:caps w:val="0"/>
          <w:color w:val="auto"/>
          <w:spacing w:val="0"/>
          <w:w w:val="100"/>
          <w:kern w:val="2"/>
          <w:sz w:val="32"/>
          <w:szCs w:val="32"/>
          <w:lang w:val="en-US" w:eastAsia="zh-CN" w:bidi="ar-SA"/>
        </w:rPr>
      </w:pPr>
      <w:r>
        <w:rPr>
          <w:rFonts w:hint="eastAsia" w:ascii="Times New Roman" w:hAnsi="Times New Roman" w:eastAsia="仿宋_GB2312" w:cs="Times New Roman"/>
          <w:b w:val="0"/>
          <w:i w:val="0"/>
          <w:caps w:val="0"/>
          <w:color w:val="auto"/>
          <w:spacing w:val="0"/>
          <w:w w:val="100"/>
          <w:kern w:val="2"/>
          <w:sz w:val="32"/>
          <w:szCs w:val="32"/>
          <w:lang w:val="en-US" w:eastAsia="zh-CN" w:bidi="ar-SA"/>
        </w:rPr>
        <w:t>结合“法律六进”活动，开展“送法下乡”“农资打假宣传周”等活动30余场，发放《农民法律知识手册》《应急处置法律指引》等资料1.2万份，覆盖农户8000余户，推动法治观念深入人心。</w:t>
      </w:r>
      <w:bookmarkStart w:id="0" w:name="_GoBack"/>
      <w:bookmarkEnd w:id="0"/>
    </w:p>
    <w:p w14:paraId="6ABC23C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三、健全制度体系，规范行政权力运行</w:t>
      </w:r>
    </w:p>
    <w:p w14:paraId="27B14C0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1.严格重大行政决策程序</w:t>
      </w:r>
    </w:p>
    <w:p w14:paraId="5472D2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落实公众参与、专家论证、风险评估、合法性审查、集体讨论决定法定程序，对重大项目、重要政策、重点执法案件全部开展合法性审查，确保决策于法有据、程序正当。</w:t>
      </w:r>
    </w:p>
    <w:p w14:paraId="0887D8A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2.动态管理权责清单</w:t>
      </w:r>
    </w:p>
    <w:p w14:paraId="144A1AC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依据法律法规立改废释及机构职能调整，及时梳理、更新、公开行政许可、行政处罚、行政检查等权责事项，做到清单之外无权力，清单之内必履职。</w:t>
      </w:r>
    </w:p>
    <w:p w14:paraId="07980EF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3.规范文件与合同管理</w:t>
      </w:r>
    </w:p>
    <w:p w14:paraId="54A8BC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严格执行行政规范性文件制定、审核、备案、清理制度，严把合法性、合规性、合理性关口。加强重大合同、合作协议法律审核，聘请法律顾问全程参与，有效防范法律风险。</w:t>
      </w:r>
    </w:p>
    <w:p w14:paraId="704F93F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4.落实政务公开</w:t>
      </w:r>
    </w:p>
    <w:p w14:paraId="09725A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坚持以公开为常态、不公开为例外，通过政府网站、政务公开栏等渠道，及时公开执法信息、办事流程、政策文件、行政处罚结果等，保障群众知情权、参与权、监督权。</w:t>
      </w:r>
    </w:p>
    <w:p w14:paraId="4ACE004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四、以创新实践为驱动，推动高质量发展</w:t>
      </w:r>
    </w:p>
    <w:p w14:paraId="2E6DBC8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1.“法治+应急”融合模式</w:t>
      </w:r>
    </w:p>
    <w:p w14:paraId="7AD92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将法治要求贯穿应急管理全过程，明确灾害报告、物资调配、灾后补偿等环节法律依据，全年依法处置突发事件，未发生法律纠纷；建立“普法+应急演练”机制，在演练中嵌入《中华人民共和国突发事件应对法》《中华人民共和国动物防疫法》等条款解读，提升干部群众依法应对能力。</w:t>
      </w:r>
    </w:p>
    <w:p w14:paraId="4A92D9A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2.“保险+科技”风险防控</w:t>
      </w:r>
    </w:p>
    <w:p w14:paraId="205BC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推广“订单农业+保险”模式，覆盖农田15万亩，牲畜10万头，农户收益保障率提升至90%；依托“科技小院”开展病虫害绿色防控技术研发，推广生物防治面积20万亩，减少农药使用量35%，获评“自治区农牧业科技示范基地”。</w:t>
      </w:r>
    </w:p>
    <w:p w14:paraId="28E3E4B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五、存在问题与改进方向</w:t>
      </w:r>
    </w:p>
    <w:p w14:paraId="16C769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1.法治与应急协同需深化，部分基层执法人员对突发事件中的法律适用掌握不足，需加强“法律+应急”复合型人才培养。</w:t>
      </w:r>
    </w:p>
    <w:p w14:paraId="6DDF04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2.数据共享机制有待完善，与气象、市监等部门数据尚未完全互通。</w:t>
      </w:r>
    </w:p>
    <w:p w14:paraId="77550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3.科技成果转化较慢，智慧农业设备推广成本较高，需加大财政补贴力度，引导社会资本参与技术应用。</w:t>
      </w:r>
    </w:p>
    <w:p w14:paraId="54C706E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Times New Roman" w:hAnsi="Times New Roman" w:eastAsia="黑体" w:cs="Times New Roman"/>
          <w:b w:val="0"/>
          <w:bCs w:val="0"/>
          <w:color w:val="auto"/>
          <w:kern w:val="21"/>
          <w:sz w:val="32"/>
          <w:szCs w:val="32"/>
          <w:lang w:val="en-US" w:eastAsia="zh-CN" w:bidi="ar-SA"/>
        </w:rPr>
      </w:pPr>
      <w:r>
        <w:rPr>
          <w:rFonts w:hint="eastAsia" w:ascii="Times New Roman" w:hAnsi="Times New Roman" w:eastAsia="黑体" w:cs="Times New Roman"/>
          <w:b w:val="0"/>
          <w:bCs w:val="0"/>
          <w:color w:val="auto"/>
          <w:kern w:val="21"/>
          <w:sz w:val="32"/>
          <w:szCs w:val="32"/>
          <w:lang w:val="en-US" w:eastAsia="zh-CN" w:bidi="ar-SA"/>
        </w:rPr>
        <w:t>六、2026年工作计划</w:t>
      </w:r>
    </w:p>
    <w:p w14:paraId="465AD6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1.持续压实法治责任。进一步强化第一责任人职责，完善考核督导机制，推动法治建设走深走实。</w:t>
      </w:r>
    </w:p>
    <w:p w14:paraId="4E3BCB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2.持续规范行政行为。严格决策程序，强化文件与合同审查，不断提升依法行政水平。</w:t>
      </w:r>
    </w:p>
    <w:p w14:paraId="72FB83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3.持续提升执法效能。深化三项制度落实，加强重点领域监管，规范文明执法，守牢农牧产业安全底线。</w:t>
      </w:r>
    </w:p>
    <w:p w14:paraId="0ECA2B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4.持续优化服务环境。深化“放管服”改革，提升政务服务便利度，以法治护航农牧与科技事业高质量发展。</w:t>
      </w:r>
    </w:p>
    <w:p w14:paraId="5BE502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5.持续深化普法宣传。创新方式，精准发力，推动法治宣传教育常态化，实效化。</w:t>
      </w:r>
    </w:p>
    <w:p w14:paraId="23C784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6.持续强化队伍建设。加强法治培训，执法练兵，建强法治工作队伍，为法治政府建设提供坚实保障。</w:t>
      </w:r>
    </w:p>
    <w:p w14:paraId="54E8A7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我局将以更高标准、更实举措、更严要求，补短板、强弱项、提质效，全面提升法治政府建设水平，为推动全旗农牧业现代化、科技事业创新发展提供坚强法治保障。</w:t>
      </w:r>
    </w:p>
    <w:p w14:paraId="3E9686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p>
    <w:p w14:paraId="5CF0B5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mallCaps w:val="0"/>
          <w:kern w:val="2"/>
          <w:sz w:val="32"/>
          <w:szCs w:val="32"/>
          <w:lang w:val="en-US" w:eastAsia="zh-CN" w:bidi="ar-SA"/>
        </w:rPr>
      </w:pPr>
    </w:p>
    <w:p w14:paraId="6DDECDD3">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杭锦后旗农牧和科技局</w:t>
      </w:r>
    </w:p>
    <w:p w14:paraId="019ED856">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 w:hAnsi="仿宋" w:eastAsia="仿宋" w:cs="仿宋"/>
          <w:smallCaps w:val="0"/>
          <w:kern w:val="2"/>
          <w:sz w:val="32"/>
          <w:szCs w:val="32"/>
          <w:lang w:val="en-US" w:eastAsia="zh-CN" w:bidi="ar-SA"/>
        </w:rPr>
      </w:pPr>
      <w:r>
        <w:rPr>
          <w:rFonts w:hint="eastAsia" w:ascii="仿宋" w:hAnsi="仿宋" w:eastAsia="仿宋" w:cs="仿宋"/>
          <w:smallCaps w:val="0"/>
          <w:kern w:val="2"/>
          <w:sz w:val="32"/>
          <w:szCs w:val="32"/>
          <w:lang w:val="en-US" w:eastAsia="zh-CN" w:bidi="ar-SA"/>
        </w:rPr>
        <w:t>2026年3月9日</w:t>
      </w:r>
    </w:p>
    <w:sectPr>
      <w:footerReference r:id="rId3"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118E">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287B05D">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287B0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7EDC5"/>
    <w:multiLevelType w:val="singleLevel"/>
    <w:tmpl w:val="48D7EDC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720A5"/>
    <w:rsid w:val="228A7838"/>
    <w:rsid w:val="40A8162F"/>
    <w:rsid w:val="52DF7D0D"/>
    <w:rsid w:val="5F071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f2275171-345c-488c-aca6-7e6548bf5d09</errorID>
      <errorWord>"党组领导、股室负责、全员参与"</errorWord>
      <group>L1_Punc</group>
      <groupName>标点问题</groupName>
      <ability>L2_Punc</ability>
      <abilityName>标点符号检查</abilityName>
      <candidateList>
        <item>“党组领导、股室负责、全员参与”</item>
      </candidateList>
      <explain/>
      <paraID>1132339E</paraID>
      <start>2</start>
      <end>18</end>
      <status>modified</status>
      <modifiedWord>“党组领导、股室负责、全员参与”</modifiedWord>
      <trackRevisions>false</trackRevisions>
    </reviewItem>
    <reviewItem>
      <errorID>0b811a6b-63dd-4887-bd5e-b422a02eb702</errorID>
      <errorWord>，</errorWord>
      <group>L1_Punc</group>
      <groupName>标点问题</groupName>
      <ability>L2_Punc</ability>
      <abilityName>标点符号检查</abilityName>
      <candidateList>
        <item>、</item>
      </candidateList>
      <explain/>
      <paraID>23076FF2</paraID>
      <start>22</start>
      <end>23</end>
      <status>modified</status>
      <modifiedWord>、</modifiedWord>
      <trackRevisions>false</trackRevisions>
    </reviewItem>
    <reviewItem>
      <errorID>862b8372-a3d4-4ac7-aada-43cc3841580c</errorID>
      <errorWord>法治意识</errorWord>
      <group>L1_Political</group>
      <groupName>政治性问题</groupName>
      <ability>L2_Keyword</ability>
      <abilityName>固定表述</abilityName>
      <candidateList>
        <item>法治观念</item>
      </candidateList>
      <explain>此处内容疑似含有固定表述相关错误，建议核查。</explain>
      <paraID>282CC80F</paraID>
      <start>80</start>
      <end>84</end>
      <status>modified</status>
      <modifiedWord>法治观念</modifiedWord>
      <trackRevisions>false</trackRevisions>
    </reviewItem>
    <reviewItem>
      <errorID>c05a4b4e-bcbf-4de9-bec2-19be655cb049</errorID>
      <errorWord>，</errorWord>
      <group>L1_Punc</group>
      <groupName>标点问题</groupName>
      <ability>L2_Punc</ability>
      <abilityName>标点符号检查</abilityName>
      <candidateList>
        <item>、</item>
      </candidateList>
      <explain/>
      <paraID>54E8A7FE</paraID>
      <start>8</start>
      <end>9</end>
      <status>modified</status>
      <modifiedWord>、</modifiedWord>
      <trackRevisions>false</trackRevisions>
    </reviewItem>
    <reviewItem>
      <errorID>34b6e307-a55a-4bac-a9a6-f3ecb8ee9da5</errorID>
      <errorWord>，</errorWord>
      <group>L1_Punc</group>
      <groupName>标点问题</groupName>
      <ability>L2_Punc</ability>
      <abilityName>标点符号检查</abilityName>
      <candidateList>
        <item>、</item>
      </candidateList>
      <explain/>
      <paraID>54E8A7FE</paraID>
      <start>13</start>
      <end>14</end>
      <status>modified</status>
      <modifiedWord>、</modifiedWord>
      <trackRevisions>false</trackRevisions>
    </reviewItem>
    <reviewItem>
      <errorID>8abd039c-1128-46df-928f-301e922d16b1</errorID>
      <errorWord>，</errorWord>
      <group>L1_Punc</group>
      <groupName>标点问题</groupName>
      <ability>L2_Punc</ability>
      <abilityName>标点符号检查</abilityName>
      <candidateList>
        <item>、</item>
      </candidateList>
      <explain/>
      <paraID>54E8A7FE</paraID>
      <start>22</start>
      <end>23</end>
      <status>modified</status>
      <modifiedWord>、</modifiedWord>
      <trackRevisions>false</trackRevisions>
    </reviewItem>
    <reviewItem>
      <errorID>34785cb7-89d4-45b1-a878-a04c50cd1ff3</errorID>
      <errorWord>，</errorWord>
      <group>L1_Punc</group>
      <groupName>标点问题</groupName>
      <ability>L2_Punc</ability>
      <abilityName>标点符号检查</abilityName>
      <candidateList>
        <item>、</item>
      </candidateList>
      <explain/>
      <paraID>54E8A7FE</paraID>
      <start>26</start>
      <end>27</end>
      <status>modified</status>
      <modifiedWord>、</modifiedWord>
      <trackRevisions>false</trackRevisions>
    </reviewItem>
    <reviewItem>
      <errorID>f592729b-2be9-4e3a-bea1-26b1edecbb89</errorID>
      <errorWord>，</errorWord>
      <group>L1_Punc</group>
      <groupName>标点问题</groupName>
      <ability>L2_Punc</ability>
      <abilityName>标点符号检查</abilityName>
      <candidateList>
        <item>、</item>
      </candidateList>
      <explain/>
      <paraID>54E8A7FE</paraID>
      <start>55</start>
      <end>56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c5005-1bcf-4965-9922-5407b8ca7c4e}">
  <ds:schemaRefs/>
</ds:datastoreItem>
</file>

<file path=docProps/app.xml><?xml version="1.0" encoding="utf-8"?>
<Properties xmlns="http://schemas.openxmlformats.org/officeDocument/2006/extended-properties" xmlns:vt="http://schemas.openxmlformats.org/officeDocument/2006/docPropsVTypes">
  <Pages>5</Pages>
  <Words>2017</Words>
  <Characters>2077</Characters>
  <TotalTime>330</TotalTime>
  <ScaleCrop>false</ScaleCrop>
  <LinksUpToDate>false</LinksUpToDate>
  <CharactersWithSpaces>2077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2026-03-05T08:08:00Z</dcterms:created>
  <dc:creator>Apache POI</dc:creator>
  <cp:lastModifiedBy> 敏儿</cp:lastModifiedBy>
  <cp:lastPrinted>2026-03-09T02:50:00Z</cp:lastPrinted>
  <dcterms:modified xsi:type="dcterms:W3CDTF">2026-03-24T09:06:25Z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eyJoZGlkIjoiYjlhZTkxYzk5YzdhMDJmZGQzNTVmNmQ3OTM2NmE4N2IiLCJ1c2VySWQiOiI0NTQ4MDMxNzQifQ==</vt:lpwstr>
  </property>
  <property fmtid="{D5CDD505-2E9C-101B-9397-08002B2CF9AE}" pid="3" name="KSOProductBuildVer">
    <vt:lpwstr>2052-12.1.0.25225</vt:lpwstr>
  </property>
  <property fmtid="{D5CDD505-2E9C-101B-9397-08002B2CF9AE}" pid="4" name="ICV">
    <vt:lpwstr>BDBE5CDD8DD0428386498180131983D0_13</vt:lpwstr>
  </property>
</Properties>
</file>