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BBDAC">
      <w:pPr>
        <w:spacing w:line="253" w:lineRule="auto"/>
        <w:rPr>
          <w:rFonts w:ascii="Arial"/>
          <w:sz w:val="21"/>
        </w:rPr>
      </w:pPr>
    </w:p>
    <w:p w14:paraId="4E5D2712">
      <w:pPr>
        <w:spacing w:line="253" w:lineRule="auto"/>
        <w:rPr>
          <w:rFonts w:ascii="Arial"/>
          <w:sz w:val="21"/>
        </w:rPr>
      </w:pPr>
    </w:p>
    <w:p w14:paraId="4C361F07">
      <w:pPr>
        <w:spacing w:line="253" w:lineRule="auto"/>
        <w:rPr>
          <w:rFonts w:ascii="Arial"/>
          <w:sz w:val="21"/>
        </w:rPr>
      </w:pPr>
    </w:p>
    <w:p w14:paraId="1716EFFC">
      <w:pPr>
        <w:spacing w:line="253" w:lineRule="auto"/>
        <w:rPr>
          <w:rFonts w:ascii="Arial"/>
          <w:sz w:val="21"/>
        </w:rPr>
      </w:pPr>
    </w:p>
    <w:p w14:paraId="5AF049D4">
      <w:pPr>
        <w:spacing w:line="253" w:lineRule="auto"/>
        <w:rPr>
          <w:rFonts w:ascii="Arial"/>
          <w:sz w:val="21"/>
        </w:rPr>
      </w:pPr>
    </w:p>
    <w:p w14:paraId="376815BE">
      <w:pPr>
        <w:spacing w:line="254" w:lineRule="auto"/>
        <w:rPr>
          <w:rFonts w:ascii="Arial"/>
          <w:sz w:val="21"/>
        </w:rPr>
      </w:pPr>
    </w:p>
    <w:p w14:paraId="0C1AEC4F">
      <w:pPr>
        <w:spacing w:line="254" w:lineRule="auto"/>
        <w:rPr>
          <w:rFonts w:ascii="Arial"/>
          <w:sz w:val="21"/>
        </w:rPr>
      </w:pPr>
    </w:p>
    <w:p w14:paraId="0C125207">
      <w:pPr>
        <w:spacing w:line="254" w:lineRule="auto"/>
        <w:rPr>
          <w:rFonts w:ascii="Arial"/>
          <w:sz w:val="21"/>
        </w:rPr>
      </w:pPr>
    </w:p>
    <w:p w14:paraId="35F19169">
      <w:pPr>
        <w:spacing w:line="254" w:lineRule="auto"/>
        <w:rPr>
          <w:rFonts w:ascii="Arial"/>
          <w:sz w:val="21"/>
        </w:rPr>
      </w:pPr>
    </w:p>
    <w:p w14:paraId="1FC03984">
      <w:pPr>
        <w:spacing w:line="273" w:lineRule="auto"/>
        <w:rPr>
          <w:rFonts w:ascii="Arial"/>
          <w:sz w:val="21"/>
        </w:rPr>
      </w:pPr>
    </w:p>
    <w:p w14:paraId="1C79FDD5">
      <w:pPr>
        <w:spacing w:line="273" w:lineRule="auto"/>
        <w:rPr>
          <w:rFonts w:ascii="Arial"/>
          <w:sz w:val="21"/>
        </w:rPr>
      </w:pPr>
    </w:p>
    <w:p w14:paraId="6EE52CB4">
      <w:pPr>
        <w:spacing w:line="273" w:lineRule="auto"/>
        <w:rPr>
          <w:rFonts w:ascii="Arial"/>
          <w:sz w:val="21"/>
        </w:rPr>
      </w:pPr>
    </w:p>
    <w:p w14:paraId="39A6D8E6">
      <w:pPr>
        <w:spacing w:line="274" w:lineRule="auto"/>
        <w:rPr>
          <w:rFonts w:ascii="Arial"/>
          <w:sz w:val="21"/>
        </w:rPr>
      </w:pPr>
    </w:p>
    <w:p w14:paraId="27BCE993">
      <w:pPr>
        <w:spacing w:line="274" w:lineRule="auto"/>
        <w:rPr>
          <w:rFonts w:ascii="Arial"/>
          <w:sz w:val="21"/>
        </w:rPr>
      </w:pPr>
    </w:p>
    <w:p w14:paraId="3C4F8352">
      <w:pPr>
        <w:spacing w:line="274" w:lineRule="auto"/>
        <w:rPr>
          <w:rFonts w:ascii="Arial"/>
          <w:sz w:val="21"/>
        </w:rPr>
      </w:pPr>
    </w:p>
    <w:p w14:paraId="4F8B07CF">
      <w:pPr>
        <w:spacing w:before="97" w:line="223" w:lineRule="auto"/>
        <w:ind w:left="2979"/>
        <w:rPr>
          <w:rFonts w:ascii="Arial"/>
          <w:sz w:val="21"/>
        </w:rPr>
      </w:pPr>
      <w:r>
        <w:rPr>
          <w:rFonts w:ascii="仿宋" w:hAnsi="仿宋" w:eastAsia="仿宋" w:cs="仿宋"/>
          <w:spacing w:val="7"/>
          <w:sz w:val="30"/>
          <w:szCs w:val="30"/>
        </w:rPr>
        <w:t>巴财购〔2025〕97号</w:t>
      </w:r>
    </w:p>
    <w:p w14:paraId="11D7B718">
      <w:pPr>
        <w:spacing w:line="60" w:lineRule="exact"/>
        <w:rPr>
          <w:rFonts w:ascii="Arial"/>
          <w:sz w:val="21"/>
        </w:rPr>
      </w:pPr>
    </w:p>
    <w:p w14:paraId="4449D20E">
      <w:pPr>
        <w:pStyle w:val="4"/>
        <w:spacing w:before="136" w:line="219" w:lineRule="auto"/>
        <w:ind w:left="625"/>
        <w:rPr>
          <w:sz w:val="42"/>
          <w:szCs w:val="42"/>
        </w:rPr>
      </w:pPr>
      <w:r>
        <w:rPr>
          <w:b/>
          <w:bCs/>
          <w:spacing w:val="-6"/>
          <w:sz w:val="42"/>
          <w:szCs w:val="42"/>
        </w:rPr>
        <w:t>关于转发《内蒙古自治区财政厅关于公布</w:t>
      </w:r>
    </w:p>
    <w:p w14:paraId="77DEC394">
      <w:pPr>
        <w:pStyle w:val="4"/>
        <w:spacing w:before="32" w:line="219" w:lineRule="auto"/>
        <w:ind w:left="1215"/>
        <w:rPr>
          <w:sz w:val="42"/>
          <w:szCs w:val="42"/>
        </w:rPr>
      </w:pPr>
      <w:r>
        <w:rPr>
          <w:b/>
          <w:bCs/>
          <w:spacing w:val="-3"/>
          <w:sz w:val="42"/>
          <w:szCs w:val="42"/>
        </w:rPr>
        <w:t>全区统一集中采购目录及有关政策</w:t>
      </w:r>
    </w:p>
    <w:p w14:paraId="2B810912">
      <w:pPr>
        <w:pStyle w:val="4"/>
        <w:spacing w:before="35" w:line="219" w:lineRule="auto"/>
        <w:ind w:left="1776"/>
        <w:rPr>
          <w:sz w:val="42"/>
          <w:szCs w:val="42"/>
        </w:rPr>
      </w:pPr>
      <w:r>
        <w:rPr>
          <w:b/>
          <w:bCs/>
          <w:spacing w:val="20"/>
          <w:sz w:val="42"/>
          <w:szCs w:val="42"/>
        </w:rPr>
        <w:t>(2025年版)的通知》的通知</w:t>
      </w:r>
    </w:p>
    <w:p w14:paraId="207A5F15">
      <w:pPr>
        <w:spacing w:line="312" w:lineRule="auto"/>
        <w:rPr>
          <w:rFonts w:ascii="Arial"/>
          <w:sz w:val="21"/>
        </w:rPr>
      </w:pPr>
    </w:p>
    <w:p w14:paraId="2D60EED4">
      <w:pPr>
        <w:spacing w:line="313" w:lineRule="auto"/>
        <w:rPr>
          <w:rFonts w:ascii="Arial"/>
          <w:sz w:val="21"/>
        </w:rPr>
      </w:pPr>
    </w:p>
    <w:p w14:paraId="4258099F">
      <w:pPr>
        <w:spacing w:before="98" w:line="306" w:lineRule="auto"/>
        <w:ind w:left="159" w:right="131"/>
        <w:rPr>
          <w:rFonts w:ascii="仿宋" w:hAnsi="仿宋" w:eastAsia="仿宋" w:cs="仿宋"/>
          <w:sz w:val="30"/>
          <w:szCs w:val="30"/>
        </w:rPr>
      </w:pPr>
      <w:r>
        <w:rPr>
          <w:rFonts w:ascii="仿宋" w:hAnsi="仿宋" w:eastAsia="仿宋" w:cs="仿宋"/>
          <w:spacing w:val="1"/>
          <w:sz w:val="30"/>
          <w:szCs w:val="30"/>
        </w:rPr>
        <w:t>市直各预算单位，各旗县区财政局、开发区财政局</w:t>
      </w:r>
      <w:r>
        <w:rPr>
          <w:rFonts w:ascii="仿宋" w:hAnsi="仿宋" w:eastAsia="仿宋" w:cs="仿宋"/>
          <w:sz w:val="30"/>
          <w:szCs w:val="30"/>
        </w:rPr>
        <w:t xml:space="preserve">、甘其毛都口 </w:t>
      </w:r>
      <w:r>
        <w:rPr>
          <w:rFonts w:ascii="仿宋" w:hAnsi="仿宋" w:eastAsia="仿宋" w:cs="仿宋"/>
          <w:spacing w:val="-3"/>
          <w:sz w:val="30"/>
          <w:szCs w:val="30"/>
        </w:rPr>
        <w:t>岸管委会财政局：</w:t>
      </w:r>
    </w:p>
    <w:p w14:paraId="04CCED0D">
      <w:pPr>
        <w:spacing w:before="85" w:line="316" w:lineRule="auto"/>
        <w:ind w:left="140" w:right="132" w:firstLine="639"/>
        <w:jc w:val="both"/>
        <w:rPr>
          <w:rFonts w:ascii="仿宋" w:hAnsi="仿宋" w:eastAsia="仿宋" w:cs="仿宋"/>
          <w:sz w:val="30"/>
          <w:szCs w:val="30"/>
        </w:rPr>
      </w:pPr>
      <w:r>
        <w:rPr>
          <w:rFonts w:ascii="仿宋" w:hAnsi="仿宋" w:eastAsia="仿宋" w:cs="仿宋"/>
          <w:spacing w:val="-1"/>
          <w:sz w:val="30"/>
          <w:szCs w:val="30"/>
        </w:rPr>
        <w:t>根据《中华人民共和国政府采购法》及其实施条例、财政部</w:t>
      </w:r>
      <w:r>
        <w:rPr>
          <w:rFonts w:ascii="仿宋" w:hAnsi="仿宋" w:eastAsia="仿宋" w:cs="仿宋"/>
          <w:spacing w:val="4"/>
          <w:sz w:val="30"/>
          <w:szCs w:val="30"/>
        </w:rPr>
        <w:t xml:space="preserve"> </w:t>
      </w:r>
      <w:r>
        <w:rPr>
          <w:rFonts w:ascii="仿宋" w:hAnsi="仿宋" w:eastAsia="仿宋" w:cs="仿宋"/>
          <w:spacing w:val="15"/>
          <w:sz w:val="30"/>
          <w:szCs w:val="30"/>
        </w:rPr>
        <w:t>《地方预算单位政府集中采购目录及标准指引(2020年版)》,</w:t>
      </w:r>
      <w:r>
        <w:rPr>
          <w:rFonts w:ascii="仿宋" w:hAnsi="仿宋" w:eastAsia="仿宋" w:cs="仿宋"/>
          <w:spacing w:val="18"/>
          <w:sz w:val="30"/>
          <w:szCs w:val="30"/>
        </w:rPr>
        <w:t xml:space="preserve"> </w:t>
      </w:r>
      <w:r>
        <w:rPr>
          <w:rFonts w:ascii="仿宋" w:hAnsi="仿宋" w:eastAsia="仿宋" w:cs="仿宋"/>
          <w:spacing w:val="1"/>
          <w:sz w:val="30"/>
          <w:szCs w:val="30"/>
        </w:rPr>
        <w:t>内蒙古自治区财政厅制定了《全区统一集中采购目录及有关政策</w:t>
      </w:r>
    </w:p>
    <w:p w14:paraId="45F79201">
      <w:pPr>
        <w:spacing w:line="316" w:lineRule="auto"/>
        <w:rPr>
          <w:rFonts w:ascii="仿宋" w:hAnsi="仿宋" w:eastAsia="仿宋" w:cs="仿宋"/>
          <w:sz w:val="30"/>
          <w:szCs w:val="30"/>
        </w:rPr>
        <w:sectPr>
          <w:pgSz w:w="11900" w:h="16830"/>
          <w:pgMar w:top="1430" w:right="1785" w:bottom="0" w:left="1400" w:header="0" w:footer="0" w:gutter="0"/>
          <w:cols w:space="720" w:num="1"/>
        </w:sectPr>
      </w:pPr>
    </w:p>
    <w:p w14:paraId="134710D2">
      <w:pPr>
        <w:spacing w:line="272" w:lineRule="auto"/>
        <w:rPr>
          <w:rFonts w:ascii="Arial"/>
          <w:sz w:val="21"/>
        </w:rPr>
      </w:pPr>
    </w:p>
    <w:p w14:paraId="02B5327F">
      <w:pPr>
        <w:spacing w:line="272" w:lineRule="auto"/>
        <w:rPr>
          <w:rFonts w:ascii="Arial"/>
          <w:sz w:val="21"/>
        </w:rPr>
      </w:pPr>
    </w:p>
    <w:p w14:paraId="689580B4">
      <w:pPr>
        <w:spacing w:line="272" w:lineRule="auto"/>
        <w:rPr>
          <w:rFonts w:ascii="Arial"/>
          <w:sz w:val="21"/>
        </w:rPr>
      </w:pPr>
    </w:p>
    <w:p w14:paraId="72B2B050">
      <w:pPr>
        <w:spacing w:line="272" w:lineRule="auto"/>
        <w:rPr>
          <w:rFonts w:ascii="Arial"/>
          <w:sz w:val="21"/>
        </w:rPr>
      </w:pPr>
    </w:p>
    <w:p w14:paraId="301D078D">
      <w:pPr>
        <w:spacing w:before="97" w:line="349" w:lineRule="auto"/>
        <w:ind w:left="9" w:right="246" w:firstLine="9"/>
        <w:rPr>
          <w:rFonts w:ascii="仿宋" w:hAnsi="仿宋" w:eastAsia="仿宋" w:cs="仿宋"/>
          <w:sz w:val="30"/>
          <w:szCs w:val="30"/>
        </w:rPr>
      </w:pPr>
      <w:r>
        <w:rPr>
          <w:rFonts w:ascii="仿宋" w:hAnsi="仿宋" w:eastAsia="仿宋" w:cs="仿宋"/>
          <w:spacing w:val="29"/>
          <w:sz w:val="30"/>
          <w:szCs w:val="30"/>
        </w:rPr>
        <w:t>(2025年版)》(内财购〔2025〕26号),现将该文件转发给</w:t>
      </w:r>
      <w:r>
        <w:rPr>
          <w:rFonts w:ascii="仿宋" w:hAnsi="仿宋" w:eastAsia="仿宋" w:cs="仿宋"/>
          <w:sz w:val="30"/>
          <w:szCs w:val="30"/>
        </w:rPr>
        <w:t xml:space="preserve"> </w:t>
      </w:r>
      <w:r>
        <w:rPr>
          <w:rFonts w:ascii="仿宋" w:hAnsi="仿宋" w:eastAsia="仿宋" w:cs="仿宋"/>
          <w:spacing w:val="3"/>
          <w:sz w:val="30"/>
          <w:szCs w:val="30"/>
        </w:rPr>
        <w:t>你们，请严格遵照执行。</w:t>
      </w:r>
    </w:p>
    <w:p w14:paraId="5D721190">
      <w:pPr>
        <w:spacing w:line="259" w:lineRule="auto"/>
        <w:rPr>
          <w:rFonts w:ascii="Arial"/>
          <w:sz w:val="21"/>
        </w:rPr>
      </w:pPr>
    </w:p>
    <w:p w14:paraId="6E7561A2">
      <w:pPr>
        <w:spacing w:line="259" w:lineRule="auto"/>
        <w:rPr>
          <w:rFonts w:ascii="Arial"/>
          <w:sz w:val="21"/>
        </w:rPr>
      </w:pPr>
    </w:p>
    <w:p w14:paraId="41270648">
      <w:pPr>
        <w:spacing w:line="259" w:lineRule="auto"/>
        <w:rPr>
          <w:rFonts w:ascii="Arial"/>
          <w:sz w:val="21"/>
        </w:rPr>
      </w:pPr>
    </w:p>
    <w:p w14:paraId="52421A69">
      <w:pPr>
        <w:spacing w:line="260" w:lineRule="auto"/>
        <w:rPr>
          <w:rFonts w:ascii="Arial"/>
          <w:sz w:val="21"/>
        </w:rPr>
      </w:pPr>
    </w:p>
    <w:p w14:paraId="04E90338">
      <w:pPr>
        <w:spacing w:line="260" w:lineRule="auto"/>
        <w:rPr>
          <w:rFonts w:ascii="Arial"/>
          <w:sz w:val="21"/>
        </w:rPr>
      </w:pPr>
    </w:p>
    <w:p w14:paraId="2C6D0A4A">
      <w:pPr>
        <w:spacing w:before="97" w:line="244" w:lineRule="auto"/>
        <w:ind w:left="4849" w:right="1513" w:hanging="160"/>
        <w:rPr>
          <w:rFonts w:ascii="仿宋" w:hAnsi="仿宋" w:eastAsia="仿宋" w:cs="仿宋"/>
          <w:sz w:val="30"/>
          <w:szCs w:val="30"/>
        </w:rPr>
      </w:pPr>
      <w:r>
        <w:rPr>
          <w:rFonts w:ascii="仿宋" w:hAnsi="仿宋" w:eastAsia="仿宋" w:cs="仿宋"/>
          <w:spacing w:val="-8"/>
          <w:sz w:val="30"/>
          <w:szCs w:val="30"/>
        </w:rPr>
        <w:t>巴彦淖尔市财政局</w:t>
      </w:r>
      <w:r>
        <w:rPr>
          <w:rFonts w:ascii="仿宋" w:hAnsi="仿宋" w:eastAsia="仿宋" w:cs="仿宋"/>
          <w:spacing w:val="4"/>
          <w:sz w:val="30"/>
          <w:szCs w:val="30"/>
        </w:rPr>
        <w:t xml:space="preserve"> </w:t>
      </w:r>
      <w:r>
        <w:rPr>
          <w:rFonts w:ascii="仿宋" w:hAnsi="仿宋" w:eastAsia="仿宋" w:cs="仿宋"/>
          <w:spacing w:val="19"/>
          <w:sz w:val="30"/>
          <w:szCs w:val="30"/>
        </w:rPr>
        <w:t>2025年2月8日</w:t>
      </w:r>
    </w:p>
    <w:p w14:paraId="01D0BDF1">
      <w:pPr>
        <w:spacing w:line="241" w:lineRule="auto"/>
        <w:rPr>
          <w:rFonts w:ascii="Arial"/>
          <w:sz w:val="21"/>
        </w:rPr>
      </w:pPr>
    </w:p>
    <w:p w14:paraId="22DB2163">
      <w:pPr>
        <w:spacing w:line="241" w:lineRule="auto"/>
        <w:rPr>
          <w:rFonts w:ascii="Arial"/>
          <w:sz w:val="21"/>
        </w:rPr>
      </w:pPr>
    </w:p>
    <w:p w14:paraId="751DF64B">
      <w:pPr>
        <w:spacing w:line="241" w:lineRule="auto"/>
        <w:rPr>
          <w:rFonts w:ascii="Arial"/>
          <w:sz w:val="21"/>
        </w:rPr>
      </w:pPr>
    </w:p>
    <w:p w14:paraId="7AA79C34">
      <w:pPr>
        <w:spacing w:line="241" w:lineRule="auto"/>
        <w:rPr>
          <w:rFonts w:ascii="Arial"/>
          <w:sz w:val="21"/>
        </w:rPr>
      </w:pPr>
    </w:p>
    <w:p w14:paraId="0A80E60E">
      <w:pPr>
        <w:spacing w:line="241" w:lineRule="auto"/>
        <w:rPr>
          <w:rFonts w:ascii="Arial"/>
          <w:sz w:val="21"/>
        </w:rPr>
      </w:pPr>
    </w:p>
    <w:p w14:paraId="64A84F42">
      <w:pPr>
        <w:spacing w:line="241" w:lineRule="auto"/>
        <w:rPr>
          <w:rFonts w:ascii="Arial"/>
          <w:sz w:val="21"/>
        </w:rPr>
      </w:pPr>
    </w:p>
    <w:p w14:paraId="5431BD3B">
      <w:pPr>
        <w:spacing w:line="241" w:lineRule="auto"/>
        <w:rPr>
          <w:rFonts w:ascii="Arial"/>
          <w:sz w:val="21"/>
        </w:rPr>
      </w:pPr>
    </w:p>
    <w:p w14:paraId="448E0816">
      <w:pPr>
        <w:spacing w:line="241" w:lineRule="auto"/>
        <w:rPr>
          <w:rFonts w:ascii="Arial"/>
          <w:sz w:val="21"/>
        </w:rPr>
      </w:pPr>
    </w:p>
    <w:p w14:paraId="277B86C7">
      <w:pPr>
        <w:spacing w:line="241" w:lineRule="auto"/>
        <w:rPr>
          <w:rFonts w:ascii="Arial"/>
          <w:sz w:val="21"/>
        </w:rPr>
      </w:pPr>
    </w:p>
    <w:p w14:paraId="172DBF93">
      <w:pPr>
        <w:spacing w:line="241" w:lineRule="auto"/>
        <w:rPr>
          <w:rFonts w:ascii="Arial"/>
          <w:sz w:val="21"/>
        </w:rPr>
      </w:pPr>
    </w:p>
    <w:p w14:paraId="2E394114">
      <w:pPr>
        <w:spacing w:line="241" w:lineRule="auto"/>
        <w:rPr>
          <w:rFonts w:ascii="Arial"/>
          <w:sz w:val="21"/>
        </w:rPr>
      </w:pPr>
    </w:p>
    <w:p w14:paraId="25E9A2C0">
      <w:pPr>
        <w:spacing w:line="241" w:lineRule="auto"/>
        <w:rPr>
          <w:rFonts w:ascii="Arial"/>
          <w:sz w:val="21"/>
        </w:rPr>
      </w:pPr>
    </w:p>
    <w:p w14:paraId="54476F62">
      <w:pPr>
        <w:spacing w:line="241" w:lineRule="auto"/>
        <w:rPr>
          <w:rFonts w:ascii="Arial"/>
          <w:sz w:val="21"/>
        </w:rPr>
      </w:pPr>
    </w:p>
    <w:p w14:paraId="65FC815A">
      <w:pPr>
        <w:spacing w:line="241" w:lineRule="auto"/>
        <w:rPr>
          <w:rFonts w:ascii="Arial"/>
          <w:sz w:val="21"/>
        </w:rPr>
      </w:pPr>
    </w:p>
    <w:p w14:paraId="24B43411">
      <w:pPr>
        <w:spacing w:line="241" w:lineRule="auto"/>
        <w:rPr>
          <w:rFonts w:ascii="Arial"/>
          <w:sz w:val="21"/>
        </w:rPr>
      </w:pPr>
    </w:p>
    <w:p w14:paraId="0649A4AE">
      <w:pPr>
        <w:spacing w:line="241" w:lineRule="auto"/>
        <w:rPr>
          <w:rFonts w:ascii="Arial"/>
          <w:sz w:val="21"/>
        </w:rPr>
      </w:pPr>
    </w:p>
    <w:p w14:paraId="7FD14FEF">
      <w:pPr>
        <w:spacing w:line="241" w:lineRule="auto"/>
        <w:rPr>
          <w:rFonts w:ascii="Arial"/>
          <w:sz w:val="21"/>
        </w:rPr>
      </w:pPr>
    </w:p>
    <w:p w14:paraId="25A142C2">
      <w:pPr>
        <w:spacing w:line="241" w:lineRule="auto"/>
        <w:rPr>
          <w:rFonts w:ascii="Arial"/>
          <w:sz w:val="21"/>
        </w:rPr>
      </w:pPr>
    </w:p>
    <w:p w14:paraId="2B513E8C">
      <w:pPr>
        <w:spacing w:line="241" w:lineRule="auto"/>
        <w:rPr>
          <w:rFonts w:ascii="Arial"/>
          <w:sz w:val="21"/>
        </w:rPr>
      </w:pPr>
    </w:p>
    <w:p w14:paraId="64160A24">
      <w:pPr>
        <w:spacing w:line="241" w:lineRule="auto"/>
        <w:rPr>
          <w:rFonts w:ascii="Arial"/>
          <w:sz w:val="21"/>
        </w:rPr>
      </w:pPr>
    </w:p>
    <w:p w14:paraId="67EA010B">
      <w:pPr>
        <w:spacing w:line="241" w:lineRule="auto"/>
        <w:rPr>
          <w:rFonts w:ascii="Arial"/>
          <w:sz w:val="21"/>
        </w:rPr>
      </w:pPr>
    </w:p>
    <w:p w14:paraId="611EEE97">
      <w:pPr>
        <w:spacing w:line="241" w:lineRule="auto"/>
        <w:rPr>
          <w:rFonts w:ascii="Arial"/>
          <w:sz w:val="21"/>
        </w:rPr>
      </w:pPr>
    </w:p>
    <w:p w14:paraId="1AFC1260">
      <w:pPr>
        <w:spacing w:line="241" w:lineRule="auto"/>
        <w:rPr>
          <w:rFonts w:ascii="Arial"/>
          <w:sz w:val="21"/>
        </w:rPr>
      </w:pPr>
    </w:p>
    <w:p w14:paraId="1CA7FD58">
      <w:pPr>
        <w:spacing w:line="241" w:lineRule="auto"/>
        <w:rPr>
          <w:rFonts w:ascii="Arial"/>
          <w:sz w:val="21"/>
        </w:rPr>
      </w:pPr>
    </w:p>
    <w:p w14:paraId="586AF451">
      <w:pPr>
        <w:spacing w:line="241" w:lineRule="auto"/>
        <w:rPr>
          <w:rFonts w:ascii="Arial"/>
          <w:sz w:val="21"/>
        </w:rPr>
      </w:pPr>
    </w:p>
    <w:p w14:paraId="71D496A0">
      <w:pPr>
        <w:spacing w:before="29" w:line="222" w:lineRule="auto"/>
        <w:ind w:left="19"/>
        <w:rPr>
          <w:rFonts w:ascii="仿宋" w:hAnsi="仿宋" w:eastAsia="仿宋" w:cs="仿宋"/>
          <w:sz w:val="30"/>
          <w:szCs w:val="30"/>
        </w:rPr>
      </w:pPr>
    </w:p>
    <w:p w14:paraId="4479805C">
      <w:pPr>
        <w:spacing w:before="29" w:line="222" w:lineRule="auto"/>
        <w:ind w:left="19"/>
        <w:rPr>
          <w:rFonts w:ascii="仿宋" w:hAnsi="仿宋" w:eastAsia="仿宋" w:cs="仿宋"/>
          <w:sz w:val="30"/>
          <w:szCs w:val="30"/>
        </w:rPr>
      </w:pPr>
    </w:p>
    <w:p w14:paraId="277BFCD9">
      <w:pPr>
        <w:spacing w:before="29" w:line="222" w:lineRule="auto"/>
        <w:ind w:left="19"/>
        <w:rPr>
          <w:rFonts w:ascii="仿宋" w:hAnsi="仿宋" w:eastAsia="仿宋" w:cs="仿宋"/>
          <w:sz w:val="30"/>
          <w:szCs w:val="30"/>
        </w:rPr>
      </w:pPr>
    </w:p>
    <w:p w14:paraId="686E2077">
      <w:pPr>
        <w:spacing w:before="29" w:line="222" w:lineRule="auto"/>
        <w:ind w:left="19"/>
        <w:rPr>
          <w:rFonts w:ascii="仿宋" w:hAnsi="仿宋" w:eastAsia="仿宋" w:cs="仿宋"/>
          <w:sz w:val="30"/>
          <w:szCs w:val="30"/>
        </w:rPr>
      </w:pPr>
    </w:p>
    <w:p w14:paraId="3E347772">
      <w:pPr>
        <w:spacing w:before="29" w:line="222" w:lineRule="auto"/>
        <w:ind w:left="19"/>
        <w:rPr>
          <w:rFonts w:ascii="仿宋" w:hAnsi="仿宋" w:eastAsia="仿宋" w:cs="仿宋"/>
          <w:sz w:val="30"/>
          <w:szCs w:val="30"/>
        </w:rPr>
      </w:pPr>
    </w:p>
    <w:p w14:paraId="0819AF5B">
      <w:pPr>
        <w:spacing w:before="29" w:line="222" w:lineRule="auto"/>
        <w:ind w:left="19"/>
        <w:rPr>
          <w:rFonts w:ascii="仿宋" w:hAnsi="仿宋" w:eastAsia="仿宋" w:cs="仿宋"/>
          <w:sz w:val="30"/>
          <w:szCs w:val="30"/>
        </w:rPr>
      </w:pPr>
    </w:p>
    <w:p w14:paraId="4D9F5630">
      <w:pPr>
        <w:spacing w:before="29" w:line="222" w:lineRule="auto"/>
        <w:ind w:left="19"/>
        <w:rPr>
          <w:rFonts w:ascii="仿宋" w:hAnsi="仿宋" w:eastAsia="仿宋" w:cs="仿宋"/>
          <w:sz w:val="30"/>
          <w:szCs w:val="30"/>
        </w:rPr>
      </w:pPr>
    </w:p>
    <w:p w14:paraId="247CEFCA">
      <w:pPr>
        <w:spacing w:before="29" w:line="222" w:lineRule="auto"/>
        <w:ind w:left="19"/>
        <w:rPr>
          <w:rFonts w:ascii="仿宋" w:hAnsi="仿宋" w:eastAsia="仿宋" w:cs="仿宋"/>
          <w:sz w:val="30"/>
          <w:szCs w:val="30"/>
        </w:rPr>
      </w:pPr>
    </w:p>
    <w:p w14:paraId="52ED0A12">
      <w:pPr>
        <w:spacing w:before="29" w:line="222" w:lineRule="auto"/>
        <w:ind w:left="19"/>
        <w:rPr>
          <w:rFonts w:ascii="仿宋" w:hAnsi="仿宋" w:eastAsia="仿宋" w:cs="仿宋"/>
          <w:sz w:val="30"/>
          <w:szCs w:val="30"/>
        </w:rPr>
      </w:pPr>
    </w:p>
    <w:p w14:paraId="3100C3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jc w:val="center"/>
      </w:pPr>
      <w:r>
        <w:rPr>
          <w:rStyle w:val="8"/>
          <w:rFonts w:hint="eastAsia" w:ascii="宋体" w:hAnsi="宋体" w:eastAsia="宋体" w:cs="宋体"/>
          <w:b/>
          <w:bCs/>
          <w:spacing w:val="0"/>
          <w:sz w:val="36"/>
          <w:szCs w:val="36"/>
        </w:rPr>
        <w:t>全区</w:t>
      </w:r>
      <w:r>
        <w:rPr>
          <w:rStyle w:val="8"/>
          <w:rFonts w:hint="eastAsia" w:ascii="宋体" w:hAnsi="宋体" w:eastAsia="宋体" w:cs="宋体"/>
          <w:b/>
          <w:bCs/>
          <w:spacing w:val="-15"/>
          <w:sz w:val="36"/>
          <w:szCs w:val="36"/>
        </w:rPr>
        <w:t>统一集中采购目录及有关政策（</w:t>
      </w:r>
      <w:r>
        <w:rPr>
          <w:rStyle w:val="8"/>
          <w:rFonts w:hint="eastAsia" w:ascii="宋体" w:hAnsi="宋体" w:eastAsia="宋体" w:cs="宋体"/>
          <w:b/>
          <w:bCs/>
          <w:spacing w:val="15"/>
          <w:sz w:val="36"/>
          <w:szCs w:val="36"/>
        </w:rPr>
        <w:t>2025年版）</w:t>
      </w:r>
    </w:p>
    <w:p w14:paraId="259D69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Style w:val="8"/>
          <w:rFonts w:hint="eastAsia" w:ascii="宋体" w:hAnsi="宋体" w:eastAsia="宋体" w:cs="宋体"/>
          <w:b/>
          <w:bCs/>
          <w:sz w:val="30"/>
          <w:szCs w:val="30"/>
        </w:rPr>
        <w:t>一、集中采购机构采购项目</w:t>
      </w:r>
    </w:p>
    <w:p w14:paraId="43E953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以下项目必须按规定委托集中采购机构代理采购。</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07"/>
        <w:gridCol w:w="2374"/>
        <w:gridCol w:w="1734"/>
        <w:gridCol w:w="3640"/>
      </w:tblGrid>
      <w:tr w14:paraId="32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1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FC381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textAlignment w:val="center"/>
            </w:pPr>
            <w:r>
              <w:rPr>
                <w:rStyle w:val="8"/>
                <w:rFonts w:hint="eastAsia" w:ascii="宋体" w:hAnsi="宋体" w:eastAsia="宋体" w:cs="宋体"/>
                <w:b/>
                <w:bCs/>
                <w:sz w:val="30"/>
                <w:szCs w:val="30"/>
              </w:rPr>
              <w:t>序号</w:t>
            </w:r>
          </w:p>
        </w:tc>
        <w:tc>
          <w:tcPr>
            <w:tcW w:w="261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E3E17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Style w:val="8"/>
                <w:rFonts w:hint="eastAsia" w:ascii="宋体" w:hAnsi="宋体" w:eastAsia="宋体" w:cs="宋体"/>
                <w:b/>
                <w:bCs/>
                <w:sz w:val="30"/>
                <w:szCs w:val="30"/>
              </w:rPr>
              <w:t>采购品目</w:t>
            </w:r>
          </w:p>
        </w:tc>
        <w:tc>
          <w:tcPr>
            <w:tcW w:w="177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64D0B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Style w:val="8"/>
                <w:rFonts w:hint="eastAsia" w:ascii="宋体" w:hAnsi="宋体" w:eastAsia="宋体" w:cs="宋体"/>
                <w:b/>
                <w:bCs/>
                <w:sz w:val="30"/>
                <w:szCs w:val="30"/>
              </w:rPr>
              <w:t>编码</w:t>
            </w:r>
          </w:p>
        </w:tc>
        <w:tc>
          <w:tcPr>
            <w:tcW w:w="409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A34AF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Style w:val="8"/>
                <w:rFonts w:hint="eastAsia" w:ascii="宋体" w:hAnsi="宋体" w:eastAsia="宋体" w:cs="宋体"/>
                <w:b/>
                <w:bCs/>
                <w:sz w:val="30"/>
                <w:szCs w:val="30"/>
              </w:rPr>
              <w:t>备注</w:t>
            </w:r>
          </w:p>
        </w:tc>
      </w:tr>
      <w:tr w14:paraId="3A66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9810" w:type="dxa"/>
            <w:gridSpan w:val="4"/>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E9D5B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Style w:val="8"/>
                <w:rFonts w:hint="eastAsia" w:ascii="宋体" w:hAnsi="宋体" w:eastAsia="宋体" w:cs="宋体"/>
                <w:b/>
                <w:bCs/>
                <w:sz w:val="30"/>
                <w:szCs w:val="30"/>
              </w:rPr>
              <w:t>（一）货物类</w:t>
            </w:r>
          </w:p>
        </w:tc>
      </w:tr>
      <w:tr w14:paraId="6887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8D96D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w:t>
            </w:r>
          </w:p>
        </w:tc>
        <w:tc>
          <w:tcPr>
            <w:tcW w:w="270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98CBE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服务器</w:t>
            </w:r>
          </w:p>
        </w:tc>
        <w:tc>
          <w:tcPr>
            <w:tcW w:w="160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553DB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A02010104</w:t>
            </w:r>
          </w:p>
        </w:tc>
        <w:tc>
          <w:tcPr>
            <w:tcW w:w="418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45F1BD1">
            <w:pPr>
              <w:keepNext w:val="0"/>
              <w:keepLines w:val="0"/>
              <w:widowControl/>
              <w:suppressLineNumbers w:val="0"/>
              <w:jc w:val="left"/>
            </w:pPr>
          </w:p>
        </w:tc>
      </w:tr>
      <w:tr w14:paraId="1BCC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7387AA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BB37C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台式计算机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AFF54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A02010105</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22CEB1A">
            <w:pPr>
              <w:keepNext w:val="0"/>
              <w:keepLines w:val="0"/>
              <w:widowControl/>
              <w:suppressLineNumbers w:val="0"/>
              <w:jc w:val="left"/>
            </w:pPr>
          </w:p>
        </w:tc>
      </w:tr>
      <w:tr w14:paraId="74DB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C2FA7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84129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便携式计算机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9EBF6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A02010108</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FD462C2">
            <w:pPr>
              <w:keepNext w:val="0"/>
              <w:keepLines w:val="0"/>
              <w:widowControl/>
              <w:suppressLineNumbers w:val="0"/>
              <w:jc w:val="left"/>
            </w:pPr>
          </w:p>
        </w:tc>
      </w:tr>
      <w:tr w14:paraId="3DF0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6C0BB6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C6242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A3黑白打印机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4A49C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A02021001</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14FE99A">
            <w:pPr>
              <w:keepNext w:val="0"/>
              <w:keepLines w:val="0"/>
              <w:widowControl/>
              <w:suppressLineNumbers w:val="0"/>
              <w:jc w:val="left"/>
            </w:pPr>
          </w:p>
        </w:tc>
      </w:tr>
      <w:tr w14:paraId="4443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463A9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5</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EC017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A3彩色打印机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C21A5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A02021002</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1126A03">
            <w:pPr>
              <w:keepNext w:val="0"/>
              <w:keepLines w:val="0"/>
              <w:widowControl/>
              <w:suppressLineNumbers w:val="0"/>
              <w:jc w:val="left"/>
            </w:pPr>
          </w:p>
        </w:tc>
      </w:tr>
      <w:tr w14:paraId="2B7F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036F65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6</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AA0A1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A4黑白打印机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0E92B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A02021003</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4907B26">
            <w:pPr>
              <w:keepNext w:val="0"/>
              <w:keepLines w:val="0"/>
              <w:widowControl/>
              <w:suppressLineNumbers w:val="0"/>
              <w:jc w:val="left"/>
            </w:pPr>
          </w:p>
        </w:tc>
      </w:tr>
      <w:tr w14:paraId="023C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6BEED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7</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8AE49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A4彩色打印机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A3A05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A02021004</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7B0125D">
            <w:pPr>
              <w:keepNext w:val="0"/>
              <w:keepLines w:val="0"/>
              <w:widowControl/>
              <w:suppressLineNumbers w:val="0"/>
              <w:jc w:val="left"/>
            </w:pPr>
          </w:p>
        </w:tc>
      </w:tr>
      <w:tr w14:paraId="27D7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22FD84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8</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6589F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3D打印机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0CE93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A02021005</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DC608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13FA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7E15E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9</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51E58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票据打印机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12217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A02021006</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4B795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28A9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38FD2B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10</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DA226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条码打印机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0B266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A02021007</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1566E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125E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B6A33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11</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186FB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地址打印机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3DA65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A02021008</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179DA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5C89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C86CA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B54FE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液晶显示器</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63A01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A02021104</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66A8130">
            <w:pPr>
              <w:keepNext w:val="0"/>
              <w:keepLines w:val="0"/>
              <w:widowControl/>
              <w:suppressLineNumbers w:val="0"/>
              <w:jc w:val="left"/>
            </w:pPr>
          </w:p>
        </w:tc>
      </w:tr>
      <w:tr w14:paraId="6270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1E3D48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13</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A685B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扫描仪</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FE70C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A02021118</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7D8F58D">
            <w:pPr>
              <w:keepNext w:val="0"/>
              <w:keepLines w:val="0"/>
              <w:widowControl/>
              <w:suppressLineNumbers w:val="0"/>
              <w:jc w:val="left"/>
            </w:pPr>
          </w:p>
        </w:tc>
      </w:tr>
      <w:tr w14:paraId="0922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3D6F1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14</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3DE6C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基础软件</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20B8B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A08060301</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418BC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2531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478DF6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15</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9A5B9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支撑软件</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5848C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A08060302</w:t>
            </w:r>
          </w:p>
        </w:tc>
        <w:tc>
          <w:tcPr>
            <w:tcW w:w="4185" w:type="dxa"/>
            <w:vMerge w:val="restart"/>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FF069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1.单项或批量金额在40万元以上；</w:t>
            </w:r>
          </w:p>
          <w:p w14:paraId="521CF0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2.包括基础和平台类安全软件、数据安全软件、网络与边界安全软件、专用安全软件、安全测试评估软件、安全应用软件、安全支撑软件、安全管理软件、其他信息安全软件。</w:t>
            </w:r>
          </w:p>
        </w:tc>
      </w:tr>
      <w:tr w14:paraId="7473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77E5C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16</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AE79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应用软件</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18234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A08060303</w:t>
            </w:r>
          </w:p>
        </w:tc>
        <w:tc>
          <w:tcPr>
            <w:tcW w:w="4185" w:type="dxa"/>
            <w:vMerge w:val="continue"/>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580693F">
            <w:pPr>
              <w:rPr>
                <w:rFonts w:hint="eastAsia" w:ascii="宋体"/>
                <w:sz w:val="24"/>
                <w:szCs w:val="24"/>
              </w:rPr>
            </w:pPr>
          </w:p>
        </w:tc>
      </w:tr>
      <w:tr w14:paraId="3F30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52FFC1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17</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0F3D4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其他计算机软件</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7C067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A08060399</w:t>
            </w:r>
          </w:p>
        </w:tc>
        <w:tc>
          <w:tcPr>
            <w:tcW w:w="4185" w:type="dxa"/>
            <w:vMerge w:val="continue"/>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EB95B81">
            <w:pPr>
              <w:rPr>
                <w:rFonts w:hint="eastAsia" w:ascii="宋体"/>
                <w:sz w:val="24"/>
                <w:szCs w:val="24"/>
              </w:rPr>
            </w:pPr>
          </w:p>
        </w:tc>
      </w:tr>
      <w:tr w14:paraId="14B7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54EDF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18</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6BB2A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复印机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FD66D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A02020100</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A6945E8">
            <w:pPr>
              <w:keepNext w:val="0"/>
              <w:keepLines w:val="0"/>
              <w:widowControl/>
              <w:suppressLineNumbers w:val="0"/>
              <w:jc w:val="left"/>
            </w:pPr>
          </w:p>
        </w:tc>
      </w:tr>
      <w:tr w14:paraId="43D1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1E5C8C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19</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0BD0F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投影仪</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44E78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A02020200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44C6482">
            <w:pPr>
              <w:keepNext w:val="0"/>
              <w:keepLines w:val="0"/>
              <w:widowControl/>
              <w:suppressLineNumbers w:val="0"/>
              <w:jc w:val="left"/>
            </w:pPr>
          </w:p>
        </w:tc>
      </w:tr>
      <w:tr w14:paraId="4927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8CE0E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20</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FBFE0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多功能一体机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2DE18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A02020400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934D2F5">
            <w:pPr>
              <w:keepNext w:val="0"/>
              <w:keepLines w:val="0"/>
              <w:widowControl/>
              <w:suppressLineNumbers w:val="0"/>
              <w:jc w:val="left"/>
            </w:pPr>
          </w:p>
        </w:tc>
      </w:tr>
      <w:tr w14:paraId="4967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055AAC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21</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DB160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LED显示屏</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188F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A02021103</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A817C33">
            <w:pPr>
              <w:keepNext w:val="0"/>
              <w:keepLines w:val="0"/>
              <w:widowControl/>
              <w:suppressLineNumbers w:val="0"/>
              <w:jc w:val="left"/>
            </w:pPr>
          </w:p>
        </w:tc>
      </w:tr>
      <w:tr w14:paraId="0C55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ACBF2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C56C4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触控一体机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9942E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A02020800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7621D0A">
            <w:pPr>
              <w:keepNext w:val="0"/>
              <w:keepLines w:val="0"/>
              <w:widowControl/>
              <w:suppressLineNumbers w:val="0"/>
              <w:jc w:val="left"/>
            </w:pPr>
          </w:p>
        </w:tc>
      </w:tr>
      <w:tr w14:paraId="019E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6FFD34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23</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3B374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碎纸机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99F0B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A02021301</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FB936E9">
            <w:pPr>
              <w:keepNext w:val="0"/>
              <w:keepLines w:val="0"/>
              <w:widowControl/>
              <w:suppressLineNumbers w:val="0"/>
              <w:jc w:val="left"/>
            </w:pPr>
          </w:p>
        </w:tc>
      </w:tr>
      <w:tr w14:paraId="2DA4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52D0B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24</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4B8AD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乘用车</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A93C9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A02030500</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DF6C5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单项或批量金额在60万元以上</w:t>
            </w:r>
          </w:p>
        </w:tc>
      </w:tr>
      <w:tr w14:paraId="1645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D6491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25</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2597D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不间断电源</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900D8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A02061504</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6320CB3">
            <w:pPr>
              <w:keepNext w:val="0"/>
              <w:keepLines w:val="0"/>
              <w:widowControl/>
              <w:suppressLineNumbers w:val="0"/>
              <w:jc w:val="left"/>
            </w:pPr>
          </w:p>
        </w:tc>
      </w:tr>
      <w:tr w14:paraId="1AA9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645C24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26</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81496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空调机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E98F1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A02061804</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005923E">
            <w:pPr>
              <w:keepNext w:val="0"/>
              <w:keepLines w:val="0"/>
              <w:widowControl/>
              <w:suppressLineNumbers w:val="0"/>
              <w:jc w:val="left"/>
            </w:pPr>
          </w:p>
        </w:tc>
      </w:tr>
      <w:tr w14:paraId="21B8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D3F59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27</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855DA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家具</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A3531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A05010000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60AA4B2">
            <w:pPr>
              <w:keepNext w:val="0"/>
              <w:keepLines w:val="0"/>
              <w:widowControl/>
              <w:suppressLineNumbers w:val="0"/>
              <w:wordWrap w:val="0"/>
              <w:jc w:val="left"/>
            </w:pPr>
          </w:p>
        </w:tc>
      </w:tr>
      <w:tr w14:paraId="571B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10C5D3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28</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C63E0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用具</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E4DE7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A05020000</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DF6E6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3422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5CB9A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29</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6A4CF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电梯</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55FBE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A02051227</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A25F2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47FC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B5926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30</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94604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复印纸</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5D716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A05040101</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C346CA6">
            <w:pPr>
              <w:keepNext w:val="0"/>
              <w:keepLines w:val="0"/>
              <w:widowControl/>
              <w:suppressLineNumbers w:val="0"/>
              <w:jc w:val="left"/>
            </w:pPr>
          </w:p>
        </w:tc>
      </w:tr>
      <w:tr w14:paraId="73EA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810" w:type="dxa"/>
            <w:gridSpan w:val="4"/>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CAA83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textAlignment w:val="center"/>
            </w:pPr>
            <w:r>
              <w:rPr>
                <w:rStyle w:val="8"/>
                <w:rFonts w:hint="eastAsia" w:ascii="宋体" w:hAnsi="宋体" w:eastAsia="宋体" w:cs="宋体"/>
                <w:b/>
                <w:bCs/>
                <w:sz w:val="30"/>
                <w:szCs w:val="30"/>
              </w:rPr>
              <w:t>（二）工程类</w:t>
            </w:r>
          </w:p>
        </w:tc>
      </w:tr>
      <w:tr w14:paraId="6F76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EA2E6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31</w:t>
            </w:r>
          </w:p>
        </w:tc>
        <w:tc>
          <w:tcPr>
            <w:tcW w:w="270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C1872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装修工程</w:t>
            </w:r>
          </w:p>
        </w:tc>
        <w:tc>
          <w:tcPr>
            <w:tcW w:w="160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15232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B07000000</w:t>
            </w:r>
          </w:p>
        </w:tc>
        <w:tc>
          <w:tcPr>
            <w:tcW w:w="418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2CC59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指投资预算在采购限额标准以上，与建筑物、构筑物新建、改建、扩建无关的装修工程</w:t>
            </w:r>
          </w:p>
        </w:tc>
      </w:tr>
      <w:tr w14:paraId="27B7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18964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AA812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修缮工程</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11E5A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B08000000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6A389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指投资预算在采购限额标准以上，与建筑物、构筑物新建、改建、扩建无关的修缮工程</w:t>
            </w:r>
          </w:p>
        </w:tc>
      </w:tr>
      <w:tr w14:paraId="34C5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810" w:type="dxa"/>
            <w:gridSpan w:val="4"/>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76C62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textAlignment w:val="center"/>
            </w:pPr>
            <w:r>
              <w:rPr>
                <w:rStyle w:val="8"/>
                <w:rFonts w:hint="eastAsia" w:ascii="宋体" w:hAnsi="宋体" w:eastAsia="宋体" w:cs="宋体"/>
                <w:b/>
                <w:bCs/>
                <w:sz w:val="30"/>
                <w:szCs w:val="30"/>
              </w:rPr>
              <w:t>（三）服务类</w:t>
            </w:r>
          </w:p>
        </w:tc>
      </w:tr>
      <w:tr w14:paraId="6C11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1C869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33</w:t>
            </w:r>
          </w:p>
        </w:tc>
        <w:tc>
          <w:tcPr>
            <w:tcW w:w="270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EE234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车辆维修和保养服务</w:t>
            </w:r>
          </w:p>
        </w:tc>
        <w:tc>
          <w:tcPr>
            <w:tcW w:w="160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1B168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C23120301</w:t>
            </w:r>
          </w:p>
        </w:tc>
        <w:tc>
          <w:tcPr>
            <w:tcW w:w="418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4AC8468">
            <w:pPr>
              <w:keepNext w:val="0"/>
              <w:keepLines w:val="0"/>
              <w:widowControl/>
              <w:suppressLineNumbers w:val="0"/>
              <w:jc w:val="left"/>
            </w:pPr>
          </w:p>
        </w:tc>
      </w:tr>
      <w:tr w14:paraId="304D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0A3E4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34</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7A12F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车辆加油、添加燃料服务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8B951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C23120302</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9BB2936">
            <w:pPr>
              <w:keepNext w:val="0"/>
              <w:keepLines w:val="0"/>
              <w:widowControl/>
              <w:suppressLineNumbers w:val="0"/>
              <w:jc w:val="left"/>
            </w:pPr>
          </w:p>
        </w:tc>
      </w:tr>
      <w:tr w14:paraId="0844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FFE28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35</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B2E04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印刷服务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A3EF9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C23090100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998A00E">
            <w:pPr>
              <w:keepNext w:val="0"/>
              <w:keepLines w:val="0"/>
              <w:widowControl/>
              <w:suppressLineNumbers w:val="0"/>
              <w:jc w:val="left"/>
            </w:pPr>
          </w:p>
        </w:tc>
      </w:tr>
      <w:tr w14:paraId="1099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3F283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36</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5F8EE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物业管理服务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35A36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C21040000</w:t>
            </w:r>
          </w:p>
        </w:tc>
        <w:tc>
          <w:tcPr>
            <w:tcW w:w="4185" w:type="dxa"/>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ECA2553">
            <w:pPr>
              <w:keepNext w:val="0"/>
              <w:keepLines w:val="0"/>
              <w:widowControl/>
              <w:suppressLineNumbers w:val="0"/>
              <w:wordWrap w:val="0"/>
              <w:jc w:val="left"/>
            </w:pPr>
          </w:p>
        </w:tc>
      </w:tr>
      <w:tr w14:paraId="2EB1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32BE7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37</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19337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财产保险服务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C94C1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C18040102</w:t>
            </w:r>
          </w:p>
        </w:tc>
        <w:tc>
          <w:tcPr>
            <w:tcW w:w="4185" w:type="dxa"/>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ED6F0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仅包括机动车保险服务</w:t>
            </w:r>
          </w:p>
        </w:tc>
      </w:tr>
      <w:tr w14:paraId="4A61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F0DEB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38</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63D6A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云计算服务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5EDB2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C16040000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6CBB4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rFonts w:hint="eastAsia" w:ascii="宋体" w:hAnsi="宋体" w:eastAsia="宋体" w:cs="宋体"/>
                <w:sz w:val="30"/>
                <w:szCs w:val="30"/>
              </w:rPr>
              <w:t>1.单项或批量金额在40万元以上；</w:t>
            </w:r>
          </w:p>
          <w:p w14:paraId="344481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rFonts w:hint="eastAsia" w:ascii="宋体" w:hAnsi="宋体" w:eastAsia="宋体" w:cs="宋体"/>
                <w:sz w:val="30"/>
                <w:szCs w:val="30"/>
              </w:rPr>
              <w:t>2.指以云计算技术和模式为主要特征的信息技术服务，包括基础服务、平台服务、应用服务等。</w:t>
            </w:r>
          </w:p>
        </w:tc>
      </w:tr>
      <w:tr w14:paraId="01C5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C2E00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39</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42292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软件开发服务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F67E3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C16010000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92893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536D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1117E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40</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2A9F6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软件运维服务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35B4B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C16070300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3F8F8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1092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9B085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41</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C0D40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网络接入服务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7C7B8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C17010200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593AFB8">
            <w:pPr>
              <w:keepNext w:val="0"/>
              <w:keepLines w:val="0"/>
              <w:widowControl/>
              <w:suppressLineNumbers w:val="0"/>
              <w:jc w:val="left"/>
            </w:pPr>
          </w:p>
        </w:tc>
      </w:tr>
      <w:tr w14:paraId="64DA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F88A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65658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工程监理服务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F4BB2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C20020600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5B90D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5769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01348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43</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24BD4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工程造价鉴定服务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915FE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C20020500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7A097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bl>
    <w:p w14:paraId="28090D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420"/>
      </w:pPr>
      <w:r>
        <w:rPr>
          <w:rFonts w:ascii="楷体" w:hAnsi="楷体" w:eastAsia="楷体" w:cs="楷体"/>
          <w:sz w:val="27"/>
          <w:szCs w:val="27"/>
        </w:rPr>
        <w:t>备注：1.所列项目不包括高校、科研机构所采购的科研仪器设备。</w:t>
      </w:r>
    </w:p>
    <w:p w14:paraId="6D8601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420"/>
      </w:pPr>
      <w:r>
        <w:rPr>
          <w:rFonts w:hint="eastAsia" w:ascii="楷体" w:hAnsi="楷体" w:eastAsia="楷体" w:cs="楷体"/>
          <w:sz w:val="27"/>
          <w:szCs w:val="27"/>
        </w:rPr>
        <w:t>      2.鼓励采购人将金额较大、社会关注度高、关系公共利益和公共安全的项目委托集中采购机构执行采购。</w:t>
      </w:r>
    </w:p>
    <w:p w14:paraId="6B34AF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Style w:val="8"/>
          <w:rFonts w:hint="eastAsia" w:ascii="宋体" w:hAnsi="宋体" w:eastAsia="宋体" w:cs="宋体"/>
          <w:b/>
          <w:bCs/>
          <w:sz w:val="30"/>
          <w:szCs w:val="30"/>
        </w:rPr>
        <w:t>二、公开招标数额标准</w:t>
      </w:r>
    </w:p>
    <w:p w14:paraId="102CE4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一）政府采购货物或服务项目公开招标数额标准。单项采购金额400万元以上的，必须采用公开招标方式采购。因特殊情况需要采用公开招标以外的采购方式的，应当在采购活动开始前获得设区的市、盟市以上人民政府采购监督管理部门的批准。</w:t>
      </w:r>
    </w:p>
    <w:p w14:paraId="263EBB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二）政府采购工程项目公开招标数额标准。政府采购工程以及与工程建设有关的货物、服务公开招标数额标准按照《中华人民共和国招标投标法》及其实施条例和《必须招标的工程项目规定》（国家发展改革委2018年第16号令）、《内蒙古自治区财政厅 农牧厅关于进一步加强高标准农田建设资金专用资金账户管理的通知》（内财农函〔2024〕650号）有关规定执行，并在“内蒙古自治区政府采购云平台”备案无过程采购计划。与建筑物和构筑物的新建、改建和扩建无关的单独装修、拆除、修缮政府采购工程，按照《内蒙古自治区财政厅关于明确政府采购工程项目有关事项的通知》（内财购函〔2021〕98号）和《内蒙古自治区财政厅关于规范各级预算单位非招标政府采购工程的通知》（</w:t>
      </w:r>
      <w:r>
        <w:rPr>
          <w:rFonts w:hint="eastAsia" w:ascii="宋体" w:hAnsi="宋体" w:eastAsia="宋体" w:cs="宋体"/>
          <w:color w:val="333333"/>
          <w:sz w:val="30"/>
          <w:szCs w:val="30"/>
        </w:rPr>
        <w:t>内财购〔2024〕139号</w:t>
      </w:r>
      <w:r>
        <w:rPr>
          <w:rFonts w:hint="eastAsia" w:ascii="宋体" w:hAnsi="宋体" w:eastAsia="宋体" w:cs="宋体"/>
          <w:sz w:val="30"/>
          <w:szCs w:val="30"/>
        </w:rPr>
        <w:t>）有关规定执行。</w:t>
      </w:r>
    </w:p>
    <w:p w14:paraId="63DD80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Style w:val="8"/>
          <w:rFonts w:hint="eastAsia" w:ascii="宋体" w:hAnsi="宋体" w:eastAsia="宋体" w:cs="宋体"/>
          <w:b/>
          <w:bCs/>
          <w:sz w:val="30"/>
          <w:szCs w:val="30"/>
        </w:rPr>
        <w:t>三、采购限额标准</w:t>
      </w:r>
    </w:p>
    <w:p w14:paraId="5A8C01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除集中采购机构采购项目外，各单位自行采购单项或批量金额达到分散采购限额标准的项目应按《中华人民共和国政府采购法》及其实施条例有关规定执行。政府采购货物、服务和工程项目分散采购限额标准为自治区本级100万元，盟市级80万元，旗县级60万元。</w:t>
      </w:r>
    </w:p>
    <w:p w14:paraId="10568F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60"/>
      </w:pPr>
      <w:r>
        <w:rPr>
          <w:rStyle w:val="8"/>
          <w:rFonts w:hint="eastAsia" w:ascii="宋体" w:hAnsi="宋体" w:eastAsia="宋体" w:cs="宋体"/>
          <w:b/>
          <w:bCs/>
          <w:sz w:val="30"/>
          <w:szCs w:val="30"/>
        </w:rPr>
        <w:t>四、框架协议采购与电子卖场采购有效衔接</w:t>
      </w:r>
    </w:p>
    <w:p w14:paraId="25387B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综合采取盟市单独征集、区域联合征集、全区统一征集相结合方式，科学组织实施框架协议征集工作。集中采购目录内品目，在首次征集不能保证完全满足采购人需求的前提下，允许部分品目框架协议与电子卖场同时存在，框架协议已入围产品卖场不再上架。单项、批量采购金额低于40万元（乘用车60万元以下、工程低于采购限额标准），可按预算单位内控制度采购办法执行，并及时向同级财政部门备案。</w:t>
      </w:r>
    </w:p>
    <w:p w14:paraId="66A848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集中采购目录外的服务类项目，能够归集需求形成单一项目进行采购，通过签订时间、地点、数量不确定的采购合同满足需求的，以及无明确需求标准的，不得开展框架协议采购。</w:t>
      </w:r>
    </w:p>
    <w:p w14:paraId="01A85F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Style w:val="8"/>
          <w:rFonts w:hint="eastAsia" w:ascii="宋体" w:hAnsi="宋体" w:eastAsia="宋体" w:cs="宋体"/>
          <w:b/>
          <w:bCs/>
          <w:sz w:val="30"/>
          <w:szCs w:val="30"/>
        </w:rPr>
        <w:t>五、车辆维修和保养服务、车辆加油、添加燃料服务</w:t>
      </w:r>
    </w:p>
    <w:p w14:paraId="72E3B2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采购人采购单笔金额在公开招标数额以下的车辆维修和保养服务、车辆加油、添加燃料服务时，原则上应实施框架协议或电子卖场采购。但由于客观原因车辆在个别地区行驶时，确需要维修、保养、加油、添加燃料的，可参照紧急采购管理相关规定，办理政府采购。</w:t>
      </w:r>
    </w:p>
    <w:p w14:paraId="43BE46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Style w:val="8"/>
          <w:rFonts w:hint="eastAsia" w:ascii="宋体" w:hAnsi="宋体" w:eastAsia="宋体" w:cs="宋体"/>
          <w:b/>
          <w:bCs/>
          <w:sz w:val="30"/>
          <w:szCs w:val="30"/>
        </w:rPr>
        <w:t>六、灵活开展服务项目政府采购活动</w:t>
      </w:r>
    </w:p>
    <w:p w14:paraId="4A0AD7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属于政府购买服务的，严格按有关规定执行并依法依规开展采购活动。针对采购需求具有相对固定性、延续性且价格变化幅度小的服务项目，在预算有保障的前提下，以第一年采购金额为标的实施采购活动，并在采购文件与采购合同中予以明确，采购人可以签订不超过三年履行期限的采购合同，第二年、第三年按照采购合同严格履约验收后，一年一签。</w:t>
      </w:r>
    </w:p>
    <w:p w14:paraId="2E3877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Style w:val="8"/>
          <w:rFonts w:hint="eastAsia" w:ascii="宋体" w:hAnsi="宋体" w:eastAsia="宋体" w:cs="宋体"/>
          <w:b/>
          <w:bCs/>
          <w:sz w:val="30"/>
          <w:szCs w:val="30"/>
        </w:rPr>
        <w:t>七、建立集中采购机构竞争机制</w:t>
      </w:r>
    </w:p>
    <w:p w14:paraId="219454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采购人可以不受行政区域、预算管理级次所限，委托公共资源交易中心组织开展采购活动。未依法独立设置集中采购机构的地区，可以将政府集中采购项目委托给上级或其他地区公共资源交易中心组织采购，受委托的公共资源交易中心不得拒绝。</w:t>
      </w:r>
    </w:p>
    <w:p w14:paraId="21FA32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Style w:val="8"/>
          <w:rFonts w:hint="eastAsia" w:ascii="宋体" w:hAnsi="宋体" w:eastAsia="宋体" w:cs="宋体"/>
          <w:b/>
          <w:bCs/>
          <w:sz w:val="30"/>
          <w:szCs w:val="30"/>
        </w:rPr>
        <w:t>八、加强政府采购预算管理</w:t>
      </w:r>
    </w:p>
    <w:p w14:paraId="1416F8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按照财政部门简政放权要求，各级财政部门不再审核政府采购预算。主管预算单位应加强本部门本系统政府采购预算管理，落实采购人主体责任，对纳入集中采购目录及采购限额标准以上的货物、工程、服务做到“应编尽编”，同时统筹做好面向中小企业预留份额等工作。</w:t>
      </w:r>
    </w:p>
    <w:p w14:paraId="08C42F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各级园区、开发区按照预算管理层级执行集中采购目录和采购限额标准，由管理层级财政部门负责监管。本通知所称“以上”，“以下”按照民法典有关规定执行。</w:t>
      </w:r>
    </w:p>
    <w:p w14:paraId="4C0C22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本目录自印发之日起执行。由自治区财政厅负责解释，在执行过程中，因特殊情况需要修改、补充的，由自治区财政厅另行发文。</w:t>
      </w:r>
    </w:p>
    <w:p w14:paraId="17207F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jc w:val="center"/>
      </w:pPr>
    </w:p>
    <w:p w14:paraId="2F3C2B34"/>
    <w:p w14:paraId="652FAEF2">
      <w:pPr>
        <w:spacing w:before="29" w:line="222" w:lineRule="auto"/>
        <w:ind w:left="19"/>
        <w:rPr>
          <w:rFonts w:ascii="仿宋" w:hAnsi="仿宋" w:eastAsia="仿宋" w:cs="仿宋"/>
          <w:sz w:val="30"/>
          <w:szCs w:val="30"/>
        </w:rPr>
      </w:pPr>
      <w:bookmarkStart w:id="0" w:name="_GoBack"/>
      <w:bookmarkEnd w:id="0"/>
    </w:p>
    <w:sectPr>
      <w:footerReference r:id="rId5" w:type="default"/>
      <w:pgSz w:w="11900" w:h="16830"/>
      <w:pgMar w:top="1430" w:right="1785" w:bottom="1302" w:left="1570" w:header="0" w:footer="11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3D8B">
    <w:pPr>
      <w:spacing w:line="174" w:lineRule="auto"/>
      <w:ind w:left="419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AF75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100" w:firstLineChars="100"/>
    </w:pPr>
  </w:style>
  <w:style w:type="paragraph" w:customStyle="1" w:styleId="3">
    <w:name w:val="Body Text1"/>
    <w:basedOn w:val="1"/>
    <w:qFormat/>
    <w:uiPriority w:val="0"/>
    <w:rPr>
      <w:b/>
      <w:sz w:val="44"/>
    </w:r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258</Words>
  <Characters>285</Characters>
  <TotalTime>1</TotalTime>
  <ScaleCrop>false</ScaleCrop>
  <LinksUpToDate>false</LinksUpToDate>
  <CharactersWithSpaces>320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2025-02-27T11:09:00Z</dcterms:created>
  <dc:creator>Kingsoft-PDF</dc:creator>
  <cp:lastModifiedBy>演示人</cp:lastModifiedBy>
  <dcterms:modified xsi:type="dcterms:W3CDTF">2025-02-27T03:11:11Z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2025-02-27T11:09:22Z</vt:filetime>
  </property>
  <property fmtid="{D5CDD505-2E9C-101B-9397-08002B2CF9AE}" pid="4" name="UsrData">
    <vt:lpwstr>67bfd7600959d0001f73dd3cwl</vt:lpwstr>
  </property>
  <property fmtid="{D5CDD505-2E9C-101B-9397-08002B2CF9AE}" pid="5" name="KSOTemplateDocerSaveRecord">
    <vt:lpwstr>eyJoZGlkIjoiNWY3MGMyYTFlYzU0NGVmYWFjYzNkNjIwZmU3YTZiNzciLCJ1c2VySWQiOiI0NTQ4MDMxNzQifQ==</vt:lpwstr>
  </property>
  <property fmtid="{D5CDD505-2E9C-101B-9397-08002B2CF9AE}" pid="6" name="KSOProductBuildVer">
    <vt:lpwstr>2052-12.1.0.19302</vt:lpwstr>
  </property>
  <property fmtid="{D5CDD505-2E9C-101B-9397-08002B2CF9AE}" pid="7" name="ICV">
    <vt:lpwstr>25B1A178E33F4DA292839781B94CA9C6_13</vt:lpwstr>
  </property>
</Properties>
</file>