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9268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89FAFB6">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杭锦后旗2025年自治区财政衔接推进</w:t>
      </w:r>
    </w:p>
    <w:p w14:paraId="25ACAC1E">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44"/>
          <w:szCs w:val="44"/>
          <w:lang w:val="en-US" w:eastAsia="zh-CN"/>
        </w:rPr>
        <w:t>乡村振兴补助资金分配结果</w:t>
      </w:r>
    </w:p>
    <w:p w14:paraId="5DE48B82">
      <w:pPr>
        <w:rPr>
          <w:rFonts w:hint="eastAsia" w:ascii="仿宋_GB2312" w:hAnsi="仿宋_GB2312" w:eastAsia="仿宋_GB2312" w:cs="仿宋_GB2312"/>
          <w:sz w:val="32"/>
          <w:szCs w:val="32"/>
          <w:lang w:val="en-US" w:eastAsia="zh-CN"/>
        </w:rPr>
      </w:pPr>
    </w:p>
    <w:p w14:paraId="27A1AC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sz w:val="32"/>
          <w:szCs w:val="32"/>
          <w:lang w:val="en-US" w:eastAsia="zh-CN"/>
        </w:rPr>
        <w:t>一、</w:t>
      </w:r>
      <w:r>
        <w:rPr>
          <w:rFonts w:hint="eastAsia" w:ascii="Times New Roman" w:hAnsi="Times New Roman" w:eastAsia="黑体" w:cs="黑体"/>
          <w:b w:val="0"/>
          <w:bCs w:val="0"/>
          <w:sz w:val="32"/>
          <w:szCs w:val="32"/>
          <w:lang w:val="en-US" w:eastAsia="zh-CN"/>
        </w:rPr>
        <w:t>巩固拓展脱贫攻坚成果和衔接推进乡村振兴任务资金3031万元</w:t>
      </w:r>
      <w:r>
        <w:rPr>
          <w:rFonts w:hint="eastAsia" w:ascii="Times New Roman" w:hAnsi="Times New Roman" w:eastAsia="黑体" w:cs="黑体"/>
          <w:b w:val="0"/>
          <w:bCs w:val="0"/>
          <w:sz w:val="32"/>
          <w:szCs w:val="32"/>
          <w:lang w:val="en-US" w:eastAsia="zh-CN"/>
        </w:rPr>
        <w:t>用于</w:t>
      </w:r>
      <w:r>
        <w:rPr>
          <w:rFonts w:hint="eastAsia" w:ascii="Times New Roman" w:hAnsi="Times New Roman" w:eastAsia="黑体" w:cs="黑体"/>
          <w:b w:val="0"/>
          <w:bCs w:val="0"/>
          <w:sz w:val="32"/>
          <w:szCs w:val="32"/>
          <w:lang w:val="en-US" w:eastAsia="zh-CN"/>
        </w:rPr>
        <w:t>：</w:t>
      </w:r>
    </w:p>
    <w:p w14:paraId="4D8209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599" w:firstLineChars="200"/>
        <w:jc w:val="both"/>
        <w:textAlignment w:val="auto"/>
        <w:rPr>
          <w:rFonts w:hint="eastAsia" w:ascii="Times New Roman" w:hAnsi="Times New Roman" w:eastAsia="仿宋_GB2312" w:cs="仿宋_GB2312"/>
          <w:b/>
          <w:bCs/>
          <w:color w:val="auto"/>
          <w:spacing w:val="-11"/>
          <w:sz w:val="32"/>
          <w:szCs w:val="32"/>
          <w:lang w:val="en-US" w:eastAsia="zh-CN"/>
        </w:rPr>
      </w:pPr>
      <w:r>
        <w:rPr>
          <w:rFonts w:hint="eastAsia" w:ascii="Times New Roman" w:hAnsi="Times New Roman" w:eastAsia="仿宋_GB2312" w:cs="仿宋_GB2312"/>
          <w:b/>
          <w:bCs/>
          <w:color w:val="auto"/>
          <w:spacing w:val="-11"/>
          <w:sz w:val="32"/>
          <w:szCs w:val="32"/>
          <w:lang w:val="en-US" w:eastAsia="zh-CN"/>
        </w:rPr>
        <w:t>1.杭锦后旗乡村振兴设施农业产业园二期建设项目2001万元；</w:t>
      </w:r>
    </w:p>
    <w:p w14:paraId="7E9B17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99" w:firstLineChars="200"/>
        <w:jc w:val="both"/>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pacing w:val="-11"/>
          <w:sz w:val="32"/>
          <w:szCs w:val="32"/>
          <w:lang w:val="en-US" w:eastAsia="zh-CN"/>
        </w:rPr>
        <w:t>项目类别：</w:t>
      </w:r>
      <w:r>
        <w:rPr>
          <w:rFonts w:hint="eastAsia" w:ascii="Times New Roman" w:hAnsi="Times New Roman" w:eastAsia="仿宋_GB2312" w:cs="仿宋_GB2312"/>
          <w:sz w:val="32"/>
          <w:szCs w:val="32"/>
        </w:rPr>
        <w:t>产业发展</w:t>
      </w:r>
    </w:p>
    <w:p w14:paraId="75E4F61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99" w:firstLineChars="200"/>
        <w:jc w:val="both"/>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pacing w:val="-11"/>
          <w:sz w:val="32"/>
          <w:szCs w:val="32"/>
          <w:lang w:val="en-US" w:eastAsia="zh-CN"/>
        </w:rPr>
        <w:t>建设性质：</w:t>
      </w:r>
      <w:r>
        <w:rPr>
          <w:rFonts w:hint="eastAsia" w:ascii="Times New Roman" w:hAnsi="Times New Roman" w:eastAsia="仿宋_GB2312" w:cs="仿宋_GB2312"/>
          <w:sz w:val="32"/>
          <w:szCs w:val="32"/>
        </w:rPr>
        <w:t>新建</w:t>
      </w:r>
    </w:p>
    <w:p w14:paraId="027009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99" w:firstLineChars="200"/>
        <w:jc w:val="both"/>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bCs/>
          <w:spacing w:val="-11"/>
          <w:sz w:val="32"/>
          <w:szCs w:val="32"/>
          <w:lang w:val="en-US" w:eastAsia="zh-CN"/>
        </w:rPr>
        <w:t>实施地点：</w:t>
      </w:r>
      <w:r>
        <w:rPr>
          <w:rFonts w:hint="eastAsia" w:ascii="Times New Roman" w:hAnsi="Times New Roman" w:eastAsia="仿宋_GB2312" w:cs="仿宋_GB2312"/>
          <w:sz w:val="32"/>
          <w:szCs w:val="32"/>
        </w:rPr>
        <w:t>二道桥镇太阳升</w:t>
      </w:r>
      <w:r>
        <w:rPr>
          <w:rFonts w:hint="eastAsia" w:ascii="Times New Roman" w:hAnsi="Times New Roman" w:eastAsia="仿宋_GB2312" w:cs="仿宋_GB2312"/>
          <w:sz w:val="32"/>
          <w:szCs w:val="32"/>
          <w:lang w:val="en-US" w:eastAsia="zh-CN"/>
        </w:rPr>
        <w:t>村、蒙海镇柴脑包村</w:t>
      </w:r>
    </w:p>
    <w:p w14:paraId="5BC65E2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99" w:firstLineChars="200"/>
        <w:jc w:val="both"/>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pacing w:val="-11"/>
          <w:sz w:val="32"/>
          <w:szCs w:val="32"/>
          <w:lang w:val="en-US" w:eastAsia="zh-CN"/>
        </w:rPr>
        <w:t>时间进度：</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年1月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年12月</w:t>
      </w:r>
    </w:p>
    <w:p w14:paraId="633009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99" w:firstLineChars="200"/>
        <w:jc w:val="both"/>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pacing w:val="-11"/>
          <w:sz w:val="32"/>
          <w:szCs w:val="32"/>
          <w:lang w:val="en-US" w:eastAsia="zh-CN"/>
        </w:rPr>
        <w:t>责任单位：</w:t>
      </w:r>
      <w:r>
        <w:rPr>
          <w:rFonts w:hint="eastAsia" w:ascii="Times New Roman" w:hAnsi="Times New Roman" w:eastAsia="仿宋_GB2312" w:cs="仿宋_GB2312"/>
          <w:sz w:val="32"/>
          <w:szCs w:val="32"/>
        </w:rPr>
        <w:t>杭锦后旗现代农牧业开发有限公司</w:t>
      </w:r>
    </w:p>
    <w:p w14:paraId="10E9A55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99" w:firstLineChars="200"/>
        <w:jc w:val="both"/>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bCs/>
          <w:spacing w:val="-11"/>
          <w:sz w:val="32"/>
          <w:szCs w:val="32"/>
          <w:lang w:val="en-US" w:eastAsia="zh-CN"/>
        </w:rPr>
        <w:t>责 任 人：</w:t>
      </w:r>
      <w:r>
        <w:rPr>
          <w:rFonts w:hint="eastAsia" w:ascii="Times New Roman" w:hAnsi="Times New Roman" w:eastAsia="仿宋_GB2312" w:cs="仿宋_GB2312"/>
          <w:sz w:val="32"/>
          <w:szCs w:val="32"/>
          <w:lang w:val="en-US" w:eastAsia="zh-CN"/>
        </w:rPr>
        <w:t>邢洪圣</w:t>
      </w:r>
    </w:p>
    <w:p w14:paraId="7923B0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99" w:firstLineChars="200"/>
        <w:jc w:val="both"/>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pacing w:val="-11"/>
          <w:sz w:val="32"/>
          <w:szCs w:val="32"/>
          <w:lang w:val="en-US" w:eastAsia="zh-CN"/>
        </w:rPr>
        <w:t>资金来源和筹资方式：</w:t>
      </w:r>
      <w:r>
        <w:rPr>
          <w:rFonts w:hint="eastAsia" w:ascii="仿宋" w:hAnsi="仿宋" w:eastAsia="仿宋" w:cs="仿宋"/>
          <w:sz w:val="32"/>
          <w:szCs w:val="32"/>
        </w:rPr>
        <w:t>项目总投资</w:t>
      </w:r>
      <w:r>
        <w:rPr>
          <w:rFonts w:hint="eastAsia" w:ascii="仿宋" w:hAnsi="仿宋" w:eastAsia="仿宋" w:cs="仿宋"/>
          <w:sz w:val="32"/>
          <w:szCs w:val="32"/>
          <w:lang w:val="en-US" w:eastAsia="zh-CN"/>
        </w:rPr>
        <w:t>11062.75</w:t>
      </w:r>
      <w:r>
        <w:rPr>
          <w:rFonts w:hint="eastAsia" w:ascii="仿宋" w:hAnsi="仿宋" w:eastAsia="仿宋" w:cs="仿宋"/>
          <w:sz w:val="32"/>
          <w:szCs w:val="32"/>
        </w:rPr>
        <w:t>万元，其中自治区财政衔接资金</w:t>
      </w:r>
      <w:r>
        <w:rPr>
          <w:rFonts w:hint="eastAsia" w:ascii="仿宋" w:hAnsi="仿宋" w:eastAsia="仿宋" w:cs="仿宋"/>
          <w:sz w:val="32"/>
          <w:szCs w:val="32"/>
          <w:lang w:val="en-US" w:eastAsia="zh-CN"/>
        </w:rPr>
        <w:t>2001</w:t>
      </w:r>
      <w:r>
        <w:rPr>
          <w:rFonts w:hint="eastAsia" w:ascii="仿宋" w:hAnsi="仿宋" w:eastAsia="仿宋" w:cs="仿宋"/>
          <w:sz w:val="32"/>
          <w:szCs w:val="32"/>
        </w:rPr>
        <w:t>万元，自筹</w:t>
      </w:r>
      <w:r>
        <w:rPr>
          <w:rFonts w:hint="eastAsia" w:ascii="仿宋" w:hAnsi="仿宋" w:eastAsia="仿宋" w:cs="仿宋"/>
          <w:sz w:val="32"/>
          <w:szCs w:val="32"/>
          <w:lang w:val="en-US" w:eastAsia="zh-CN"/>
        </w:rPr>
        <w:t>9061.75</w:t>
      </w:r>
      <w:r>
        <w:rPr>
          <w:rFonts w:hint="eastAsia" w:ascii="仿宋" w:hAnsi="仿宋" w:eastAsia="仿宋" w:cs="仿宋"/>
          <w:sz w:val="32"/>
          <w:szCs w:val="32"/>
        </w:rPr>
        <w:t>万元。</w:t>
      </w:r>
    </w:p>
    <w:p w14:paraId="6AA60C82">
      <w:pPr>
        <w:keepNext w:val="0"/>
        <w:keepLines w:val="0"/>
        <w:pageBreakBefore w:val="0"/>
        <w:widowControl/>
        <w:kinsoku/>
        <w:wordWrap/>
        <w:overflowPunct/>
        <w:topLinePunct w:val="0"/>
        <w:autoSpaceDE/>
        <w:autoSpaceDN/>
        <w:bidi w:val="0"/>
        <w:adjustRightInd/>
        <w:snapToGrid/>
        <w:spacing w:line="560" w:lineRule="exact"/>
        <w:ind w:left="0" w:right="0" w:firstLine="599" w:firstLineChars="200"/>
        <w:jc w:val="left"/>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pacing w:val="-11"/>
          <w:sz w:val="32"/>
          <w:szCs w:val="32"/>
          <w:lang w:val="en-US" w:eastAsia="zh-CN"/>
        </w:rPr>
        <w:t>建设任务及标准：</w:t>
      </w:r>
      <w:r>
        <w:rPr>
          <w:rFonts w:hint="eastAsia" w:ascii="Times New Roman" w:hAnsi="Times New Roman" w:eastAsia="仿宋_GB2312" w:cs="仿宋_GB2312"/>
          <w:sz w:val="32"/>
          <w:szCs w:val="32"/>
        </w:rPr>
        <w:t>新建</w:t>
      </w:r>
      <w:r>
        <w:rPr>
          <w:rFonts w:hint="eastAsia" w:ascii="Times New Roman" w:hAnsi="Times New Roman" w:eastAsia="仿宋_GB2312" w:cs="仿宋_GB2312"/>
          <w:sz w:val="32"/>
          <w:szCs w:val="32"/>
          <w:lang w:val="en-US" w:eastAsia="zh-CN"/>
        </w:rPr>
        <w:t>薄膜</w:t>
      </w:r>
      <w:r>
        <w:rPr>
          <w:rFonts w:hint="eastAsia" w:ascii="Times New Roman" w:hAnsi="Times New Roman" w:eastAsia="仿宋_GB2312" w:cs="仿宋_GB2312"/>
          <w:sz w:val="32"/>
          <w:szCs w:val="32"/>
        </w:rPr>
        <w:t>拱棚</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亩,</w:t>
      </w:r>
      <w:r>
        <w:rPr>
          <w:rFonts w:hint="eastAsia" w:ascii="Times New Roman" w:hAnsi="Times New Roman" w:eastAsia="仿宋_GB2312" w:cs="仿宋_GB2312"/>
          <w:sz w:val="32"/>
          <w:szCs w:val="32"/>
          <w:lang w:val="en-US" w:eastAsia="zh-CN"/>
        </w:rPr>
        <w:t>薄膜</w:t>
      </w:r>
      <w:r>
        <w:rPr>
          <w:rFonts w:hint="eastAsia" w:ascii="Times New Roman" w:hAnsi="Times New Roman" w:eastAsia="仿宋_GB2312" w:cs="仿宋_GB2312"/>
          <w:sz w:val="32"/>
          <w:szCs w:val="32"/>
        </w:rPr>
        <w:t>拱棚造价</w:t>
      </w:r>
      <w:r>
        <w:rPr>
          <w:rFonts w:hint="eastAsia" w:ascii="Times New Roman" w:hAnsi="Times New Roman" w:eastAsia="仿宋_GB2312" w:cs="仿宋_GB2312"/>
          <w:sz w:val="32"/>
          <w:szCs w:val="32"/>
          <w:lang w:val="en-US" w:eastAsia="zh-CN"/>
        </w:rPr>
        <w:t>142000</w:t>
      </w:r>
      <w:r>
        <w:rPr>
          <w:rFonts w:hint="eastAsia" w:ascii="Times New Roman" w:hAnsi="Times New Roman" w:eastAsia="仿宋_GB2312" w:cs="仿宋_GB2312"/>
          <w:sz w:val="32"/>
          <w:szCs w:val="32"/>
        </w:rPr>
        <w:t>元/亩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薄膜连栋</w:t>
      </w:r>
      <w:r>
        <w:rPr>
          <w:rFonts w:hint="eastAsia" w:ascii="Times New Roman" w:hAnsi="Times New Roman" w:eastAsia="仿宋_GB2312" w:cs="仿宋_GB2312"/>
          <w:sz w:val="32"/>
          <w:szCs w:val="32"/>
        </w:rPr>
        <w:t>棚</w:t>
      </w:r>
      <w:r>
        <w:rPr>
          <w:rFonts w:hint="eastAsia" w:ascii="Times New Roman" w:hAnsi="Times New Roman" w:eastAsia="仿宋_GB2312" w:cs="仿宋_GB2312"/>
          <w:sz w:val="32"/>
          <w:szCs w:val="32"/>
          <w:lang w:val="en-US" w:eastAsia="zh-CN"/>
        </w:rPr>
        <w:t>105</w:t>
      </w:r>
      <w:r>
        <w:rPr>
          <w:rFonts w:hint="eastAsia" w:ascii="Times New Roman" w:hAnsi="Times New Roman" w:eastAsia="仿宋_GB2312" w:cs="仿宋_GB2312"/>
          <w:sz w:val="32"/>
          <w:szCs w:val="32"/>
        </w:rPr>
        <w:t>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连栋</w:t>
      </w:r>
      <w:r>
        <w:rPr>
          <w:rFonts w:hint="eastAsia" w:ascii="Times New Roman" w:hAnsi="Times New Roman" w:eastAsia="仿宋_GB2312" w:cs="仿宋_GB2312"/>
          <w:sz w:val="32"/>
          <w:szCs w:val="32"/>
        </w:rPr>
        <w:t>棚造价</w:t>
      </w:r>
      <w:r>
        <w:rPr>
          <w:rFonts w:hint="eastAsia" w:ascii="Times New Roman" w:hAnsi="Times New Roman" w:eastAsia="仿宋_GB2312" w:cs="仿宋_GB2312"/>
          <w:sz w:val="32"/>
          <w:szCs w:val="32"/>
          <w:lang w:val="en-US" w:eastAsia="zh-CN"/>
        </w:rPr>
        <w:t>50700</w:t>
      </w:r>
      <w:r>
        <w:rPr>
          <w:rFonts w:hint="eastAsia" w:ascii="Times New Roman" w:hAnsi="Times New Roman" w:eastAsia="仿宋_GB2312" w:cs="仿宋_GB2312"/>
          <w:sz w:val="32"/>
          <w:szCs w:val="32"/>
        </w:rPr>
        <w:t>元/亩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智能高温棚91亩，智能高温棚亩均造价170000元，新建智能日光温室500亩，日光温室造价172000元</w:t>
      </w:r>
      <w:r>
        <w:rPr>
          <w:rFonts w:hint="eastAsia" w:ascii="Times New Roman" w:hAnsi="Times New Roman" w:eastAsia="仿宋_GB2312" w:cs="仿宋_GB2312"/>
          <w:sz w:val="32"/>
          <w:szCs w:val="32"/>
        </w:rPr>
        <w:t>/亩。</w:t>
      </w:r>
      <w:r>
        <w:rPr>
          <w:rFonts w:hint="eastAsia" w:ascii="Times New Roman" w:hAnsi="Times New Roman" w:eastAsia="仿宋_GB2312" w:cs="仿宋_GB2312"/>
          <w:sz w:val="32"/>
          <w:szCs w:val="32"/>
          <w:lang w:val="en-US" w:eastAsia="zh-CN"/>
        </w:rPr>
        <w:t>使用自治区财政衔接资金1000万元在二道桥镇建设智能日光温室59亩，智能日光温室造价172000元</w:t>
      </w:r>
      <w:r>
        <w:rPr>
          <w:rFonts w:hint="eastAsia" w:ascii="Times New Roman" w:hAnsi="Times New Roman" w:eastAsia="仿宋_GB2312" w:cs="仿宋_GB2312"/>
          <w:sz w:val="32"/>
          <w:szCs w:val="32"/>
        </w:rPr>
        <w:t>/亩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使用自治区财政衔接资金1001万元在蒙海镇</w:t>
      </w:r>
      <w:r>
        <w:rPr>
          <w:rFonts w:hint="eastAsia" w:ascii="Times New Roman" w:hAnsi="Times New Roman" w:eastAsia="仿宋_GB2312" w:cs="仿宋_GB2312"/>
          <w:sz w:val="32"/>
          <w:szCs w:val="32"/>
        </w:rPr>
        <w:t>建</w:t>
      </w:r>
      <w:r>
        <w:rPr>
          <w:rFonts w:hint="eastAsia" w:ascii="Times New Roman" w:hAnsi="Times New Roman" w:eastAsia="仿宋_GB2312" w:cs="仿宋_GB2312"/>
          <w:sz w:val="32"/>
          <w:szCs w:val="32"/>
          <w:lang w:val="en-US" w:eastAsia="zh-CN"/>
        </w:rPr>
        <w:t>薄膜连栋</w:t>
      </w:r>
      <w:r>
        <w:rPr>
          <w:rFonts w:hint="eastAsia" w:ascii="Times New Roman" w:hAnsi="Times New Roman" w:eastAsia="仿宋_GB2312" w:cs="仿宋_GB2312"/>
          <w:sz w:val="32"/>
          <w:szCs w:val="32"/>
        </w:rPr>
        <w:t>棚</w:t>
      </w:r>
      <w:r>
        <w:rPr>
          <w:rFonts w:hint="eastAsia" w:ascii="Times New Roman" w:hAnsi="Times New Roman" w:eastAsia="仿宋_GB2312" w:cs="仿宋_GB2312"/>
          <w:sz w:val="32"/>
          <w:szCs w:val="32"/>
          <w:lang w:val="en-US" w:eastAsia="zh-CN"/>
        </w:rPr>
        <w:t>105</w:t>
      </w:r>
      <w:r>
        <w:rPr>
          <w:rFonts w:hint="eastAsia" w:ascii="Times New Roman" w:hAnsi="Times New Roman" w:eastAsia="仿宋_GB2312" w:cs="仿宋_GB2312"/>
          <w:sz w:val="32"/>
          <w:szCs w:val="32"/>
        </w:rPr>
        <w:t>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薄膜连栋</w:t>
      </w:r>
      <w:r>
        <w:rPr>
          <w:rFonts w:hint="eastAsia" w:ascii="Times New Roman" w:hAnsi="Times New Roman" w:eastAsia="仿宋_GB2312" w:cs="仿宋_GB2312"/>
          <w:sz w:val="32"/>
          <w:szCs w:val="32"/>
        </w:rPr>
        <w:t>棚造价</w:t>
      </w:r>
      <w:r>
        <w:rPr>
          <w:rFonts w:hint="eastAsia" w:ascii="Times New Roman" w:hAnsi="Times New Roman" w:eastAsia="仿宋_GB2312" w:cs="仿宋_GB2312"/>
          <w:sz w:val="32"/>
          <w:szCs w:val="32"/>
          <w:lang w:val="en-US" w:eastAsia="zh-CN"/>
        </w:rPr>
        <w:t>50700</w:t>
      </w:r>
      <w:r>
        <w:rPr>
          <w:rFonts w:hint="eastAsia" w:ascii="Times New Roman" w:hAnsi="Times New Roman" w:eastAsia="仿宋_GB2312" w:cs="仿宋_GB2312"/>
          <w:sz w:val="32"/>
          <w:szCs w:val="32"/>
        </w:rPr>
        <w:t>元/亩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建设智能高温棚28亩、智能高温棚造价170000元</w:t>
      </w:r>
      <w:r>
        <w:rPr>
          <w:rFonts w:hint="eastAsia" w:ascii="Times New Roman" w:hAnsi="Times New Roman" w:eastAsia="仿宋_GB2312" w:cs="仿宋_GB2312"/>
          <w:sz w:val="32"/>
          <w:szCs w:val="32"/>
        </w:rPr>
        <w:t>/亩</w:t>
      </w:r>
      <w:r>
        <w:rPr>
          <w:rFonts w:hint="eastAsia" w:ascii="Times New Roman" w:hAnsi="Times New Roman" w:eastAsia="仿宋_GB2312" w:cs="仿宋_GB2312"/>
          <w:sz w:val="32"/>
          <w:szCs w:val="32"/>
          <w:lang w:eastAsia="zh-CN"/>
        </w:rPr>
        <w:t>。</w:t>
      </w:r>
    </w:p>
    <w:p w14:paraId="7BA164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99" w:firstLineChars="200"/>
        <w:jc w:val="both"/>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pacing w:val="-11"/>
          <w:sz w:val="32"/>
          <w:szCs w:val="32"/>
          <w:lang w:val="en-US" w:eastAsia="zh-CN"/>
        </w:rPr>
        <w:t>受益对象：</w:t>
      </w:r>
      <w:r>
        <w:rPr>
          <w:rFonts w:hint="eastAsia" w:ascii="Times New Roman" w:hAnsi="Times New Roman" w:eastAsia="仿宋_GB2312" w:cs="仿宋_GB2312"/>
          <w:sz w:val="32"/>
          <w:szCs w:val="32"/>
          <w:lang w:val="en-US" w:eastAsia="zh-CN"/>
        </w:rPr>
        <w:t>带动周边农户及脱贫人口2000人。</w:t>
      </w:r>
    </w:p>
    <w:p w14:paraId="12E198F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99" w:firstLineChars="200"/>
        <w:jc w:val="both"/>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pacing w:val="-11"/>
          <w:sz w:val="32"/>
          <w:szCs w:val="32"/>
          <w:lang w:val="en-US" w:eastAsia="zh-CN"/>
        </w:rPr>
        <w:t>绩效目标：</w:t>
      </w:r>
      <w:r>
        <w:rPr>
          <w:rFonts w:hint="eastAsia" w:ascii="Times New Roman" w:hAnsi="Times New Roman" w:eastAsia="仿宋_GB2312" w:cs="仿宋_GB2312"/>
          <w:sz w:val="32"/>
          <w:szCs w:val="32"/>
          <w:lang w:val="en-US" w:eastAsia="zh-CN"/>
        </w:rPr>
        <w:t>项目建成投产运行后，农户可实现流转收入加工资收入双重保障，实现“企业建基地，基地连农户”的产业化发展模式，农户不但得到了出租土地的收入，而且在种植过程中同时得到工资收入，农民在项目建设中得到了真正的实惠。</w:t>
      </w:r>
    </w:p>
    <w:p w14:paraId="0459DE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项目的建设也可直接带动设施基地建设，采用企业+种植大户的方式，引导一批专业的种植大户经营主体种植蔬菜，辐射周边地区。项目完成直接带动基地进行高效农业生产，提高周边农民素质和技术水平。项目完成直接带动基地进行高效农业生产，提高周边农民素质和技术水平项目将建成杭锦后旗农业产业的开发示范基地，将带动杭锦后旗及周边地区的农业结构调整，带动相关产业的发展，为杭锦后旗农业产业的发展注入活力，对农村一、二、三产业融合发展起到积极的促进作用。</w:t>
      </w:r>
    </w:p>
    <w:p w14:paraId="44A9AE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99" w:firstLineChars="200"/>
        <w:jc w:val="both"/>
        <w:textAlignment w:val="auto"/>
        <w:rPr>
          <w:rFonts w:hint="eastAsia" w:ascii="Times New Roman" w:hAnsi="Times New Roman" w:eastAsia="黑体" w:cs="黑体"/>
          <w:b w:val="0"/>
          <w:bCs w:val="0"/>
          <w:sz w:val="32"/>
          <w:szCs w:val="32"/>
          <w:lang w:val="en-US" w:eastAsia="zh-CN"/>
        </w:rPr>
      </w:pPr>
      <w:r>
        <w:rPr>
          <w:rFonts w:hint="eastAsia" w:ascii="楷体_GB2312" w:hAnsi="楷体_GB2312" w:eastAsia="楷体_GB2312" w:cs="楷体_GB2312"/>
          <w:b/>
          <w:bCs/>
          <w:spacing w:val="-11"/>
          <w:sz w:val="32"/>
          <w:szCs w:val="32"/>
          <w:lang w:val="en-US" w:eastAsia="zh-CN"/>
        </w:rPr>
        <w:t>利益连结机制：</w:t>
      </w:r>
      <w:r>
        <w:rPr>
          <w:rFonts w:hint="eastAsia" w:ascii="Times New Roman" w:hAnsi="Times New Roman" w:eastAsia="仿宋_GB2312" w:cs="仿宋_GB2312"/>
          <w:sz w:val="32"/>
          <w:szCs w:val="32"/>
          <w:lang w:val="en-US" w:eastAsia="zh-CN"/>
        </w:rPr>
        <w:t>项目建成后采取“政府+合作社+农户”多家新型经营主体联合发展的模式。</w:t>
      </w:r>
    </w:p>
    <w:p w14:paraId="23FD424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99" w:firstLineChars="200"/>
        <w:jc w:val="both"/>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pacing w:val="-11"/>
          <w:sz w:val="32"/>
          <w:szCs w:val="32"/>
          <w:lang w:val="en-US" w:eastAsia="zh-CN"/>
        </w:rPr>
        <w:t>群众参与方式：</w:t>
      </w:r>
      <w:r>
        <w:rPr>
          <w:rFonts w:hint="eastAsia" w:ascii="Times New Roman" w:hAnsi="Times New Roman" w:eastAsia="仿宋_GB2312" w:cs="仿宋_GB2312"/>
          <w:sz w:val="32"/>
          <w:szCs w:val="32"/>
          <w:lang w:val="en-US" w:eastAsia="zh-CN"/>
        </w:rPr>
        <w:t>一是可以发挥良好的示范效应以及联农带农能力，提供就业岗位200多个；二是项目建成后可承包给有种植意愿的农户，承包1亩大棚可增收3500元以上；三是投入2001万元街接资金，按照年收益率4.5%可收取收益资金90.045万元，收益金将用于全旗脱贫户和监测对象帮扶、村基础设施建设等方面。</w:t>
      </w:r>
    </w:p>
    <w:p w14:paraId="505B09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2.杭锦后旗光伏帮扶电站建设项目1000万元；</w:t>
      </w:r>
    </w:p>
    <w:p w14:paraId="067BD4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9"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pacing w:val="-11"/>
          <w:sz w:val="32"/>
          <w:szCs w:val="32"/>
          <w:lang w:val="en-US" w:eastAsia="zh-CN"/>
        </w:rPr>
        <w:t>实施地点：</w:t>
      </w:r>
      <w:r>
        <w:rPr>
          <w:rFonts w:hint="eastAsia" w:ascii="仿宋_GB2312" w:hAnsi="仿宋_GB2312" w:eastAsia="仿宋_GB2312" w:cs="仿宋_GB2312"/>
          <w:b w:val="0"/>
          <w:bCs w:val="0"/>
          <w:sz w:val="32"/>
          <w:szCs w:val="32"/>
          <w:lang w:val="en-US" w:eastAsia="zh-CN"/>
        </w:rPr>
        <w:t>杭锦后旗蛮会镇新堂村、双庙镇五丰村</w:t>
      </w:r>
    </w:p>
    <w:p w14:paraId="713C51E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9"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pacing w:val="-11"/>
          <w:sz w:val="32"/>
          <w:szCs w:val="32"/>
          <w:lang w:val="en-US" w:eastAsia="zh-CN"/>
        </w:rPr>
        <w:t>建设性质：</w:t>
      </w:r>
      <w:r>
        <w:rPr>
          <w:rFonts w:hint="eastAsia" w:ascii="仿宋_GB2312" w:hAnsi="仿宋_GB2312" w:eastAsia="仿宋_GB2312" w:cs="仿宋_GB2312"/>
          <w:sz w:val="32"/>
          <w:szCs w:val="32"/>
          <w:lang w:val="en-US" w:eastAsia="zh-CN"/>
        </w:rPr>
        <w:t>新建</w:t>
      </w:r>
    </w:p>
    <w:p w14:paraId="064E10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9"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pacing w:val="-11"/>
          <w:sz w:val="32"/>
          <w:szCs w:val="32"/>
          <w:lang w:val="en-US" w:eastAsia="zh-CN"/>
        </w:rPr>
        <w:t>时间进度：</w:t>
      </w:r>
      <w:r>
        <w:rPr>
          <w:rFonts w:hint="eastAsia" w:ascii="仿宋_GB2312" w:hAnsi="仿宋_GB2312" w:eastAsia="仿宋_GB2312" w:cs="仿宋_GB2312"/>
          <w:sz w:val="32"/>
          <w:szCs w:val="32"/>
          <w:lang w:val="en-US" w:eastAsia="zh-CN"/>
        </w:rPr>
        <w:t>2024年12月－2025年12月</w:t>
      </w:r>
    </w:p>
    <w:p w14:paraId="4F5E301A">
      <w:pPr>
        <w:pStyle w:val="9"/>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599"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pacing w:val="-11"/>
          <w:sz w:val="32"/>
          <w:szCs w:val="32"/>
          <w:lang w:val="en-US" w:eastAsia="zh-CN"/>
        </w:rPr>
        <w:t>受益对象：</w:t>
      </w:r>
      <w:r>
        <w:rPr>
          <w:rFonts w:hint="eastAsia" w:ascii="仿宋_GB2312" w:hAnsi="仿宋_GB2312" w:eastAsia="仿宋_GB2312" w:cs="仿宋_GB2312"/>
          <w:b w:val="0"/>
          <w:bCs/>
          <w:color w:val="auto"/>
          <w:spacing w:val="0"/>
          <w:sz w:val="32"/>
          <w:szCs w:val="32"/>
          <w:lang w:val="en-US" w:eastAsia="zh-CN"/>
        </w:rPr>
        <w:t>一般农户5193人，其中脱贫人口、监测对象1435人。</w:t>
      </w:r>
    </w:p>
    <w:p w14:paraId="5F3C86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9" w:firstLineChars="200"/>
        <w:jc w:val="both"/>
        <w:textAlignment w:val="auto"/>
        <w:outlineLvl w:val="9"/>
        <w:rPr>
          <w:rFonts w:hint="default" w:ascii="仿宋_GB2312" w:hAnsi="仿宋_GB2312" w:eastAsia="仿宋_GB2312" w:cs="仿宋_GB2312"/>
          <w:sz w:val="32"/>
          <w:szCs w:val="32"/>
          <w:lang w:val="en-US"/>
        </w:rPr>
      </w:pPr>
      <w:r>
        <w:rPr>
          <w:rFonts w:hint="eastAsia" w:ascii="楷体_GB2312" w:hAnsi="楷体_GB2312" w:eastAsia="楷体_GB2312" w:cs="楷体_GB2312"/>
          <w:b/>
          <w:bCs/>
          <w:spacing w:val="-11"/>
          <w:sz w:val="32"/>
          <w:szCs w:val="32"/>
          <w:lang w:val="en-US" w:eastAsia="zh-CN"/>
        </w:rPr>
        <w:t>责任单位</w:t>
      </w:r>
      <w:r>
        <w:rPr>
          <w:rFonts w:hint="eastAsia" w:ascii="仿宋_GB2312" w:hAnsi="仿宋_GB2312" w:eastAsia="仿宋_GB2312" w:cs="仿宋_GB2312"/>
          <w:sz w:val="32"/>
          <w:szCs w:val="32"/>
          <w:lang w:val="en-US" w:eastAsia="zh-CN"/>
        </w:rPr>
        <w:t>：杭锦后旗农牧和科技局、现代农牧业开发有限责任公司</w:t>
      </w:r>
    </w:p>
    <w:p w14:paraId="1EDE8F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9"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pacing w:val="-11"/>
          <w:sz w:val="32"/>
          <w:szCs w:val="32"/>
          <w:lang w:val="en-US" w:eastAsia="zh-CN"/>
        </w:rPr>
        <w:t>资金规模和筹资方式：</w:t>
      </w:r>
      <w:r>
        <w:rPr>
          <w:rFonts w:hint="eastAsia" w:ascii="Times New Roman" w:hAnsi="Times New Roman" w:eastAsia="仿宋_GB2312" w:cs="仿宋_GB2312"/>
          <w:color w:val="auto"/>
          <w:spacing w:val="0"/>
          <w:sz w:val="32"/>
          <w:szCs w:val="32"/>
          <w:lang w:val="en-US" w:eastAsia="zh-CN"/>
        </w:rPr>
        <w:t>项目计划投资</w:t>
      </w:r>
      <w:r>
        <w:rPr>
          <w:rStyle w:val="13"/>
          <w:rFonts w:hint="eastAsia" w:ascii="仿宋_GB2312" w:hAnsi="仿宋_GB2312" w:eastAsia="仿宋_GB2312" w:cs="仿宋_GB2312"/>
          <w:b w:val="0"/>
          <w:bCs w:val="0"/>
          <w:color w:val="000000"/>
          <w:sz w:val="32"/>
          <w:szCs w:val="32"/>
          <w:lang w:val="en-US"/>
        </w:rPr>
        <w:t>3823</w:t>
      </w:r>
      <w:r>
        <w:rPr>
          <w:rFonts w:hint="eastAsia" w:ascii="Times New Roman" w:hAnsi="Times New Roman" w:eastAsia="仿宋_GB2312" w:cs="仿宋_GB2312"/>
          <w:color w:val="auto"/>
          <w:spacing w:val="0"/>
          <w:sz w:val="32"/>
          <w:szCs w:val="32"/>
          <w:lang w:val="en-US" w:eastAsia="zh-CN"/>
        </w:rPr>
        <w:t>万元</w:t>
      </w:r>
      <w:r>
        <w:rPr>
          <w:rFonts w:hint="eastAsia" w:ascii="Times New Roman" w:hAnsi="Times New Roman" w:eastAsia="仿宋_GB2312" w:cs="仿宋_GB2312"/>
          <w:b w:val="0"/>
          <w:bCs w:val="0"/>
          <w:color w:val="auto"/>
          <w:spacing w:val="0"/>
          <w:sz w:val="32"/>
          <w:szCs w:val="32"/>
          <w:lang w:val="en-US" w:eastAsia="zh-CN"/>
        </w:rPr>
        <w:t>，</w:t>
      </w:r>
      <w:r>
        <w:rPr>
          <w:rStyle w:val="13"/>
          <w:rFonts w:hint="eastAsia" w:ascii="Times New Roman" w:hAnsi="Times New Roman" w:eastAsia="仿宋_GB2312" w:cs="仿宋_GB2312"/>
          <w:b w:val="0"/>
          <w:bCs w:val="0"/>
          <w:spacing w:val="0"/>
          <w:sz w:val="32"/>
          <w:szCs w:val="32"/>
        </w:rPr>
        <w:t>申请</w:t>
      </w:r>
      <w:r>
        <w:rPr>
          <w:rStyle w:val="13"/>
          <w:rFonts w:hint="eastAsia" w:ascii="Times New Roman" w:hAnsi="Times New Roman" w:eastAsia="仿宋_GB2312" w:cs="仿宋_GB2312"/>
          <w:b w:val="0"/>
          <w:bCs w:val="0"/>
          <w:spacing w:val="0"/>
          <w:sz w:val="32"/>
          <w:szCs w:val="32"/>
          <w:lang w:val="en-US"/>
        </w:rPr>
        <w:t>2025年中央资金491万元、</w:t>
      </w:r>
      <w:r>
        <w:rPr>
          <w:rFonts w:hint="eastAsia" w:ascii="Times New Roman" w:hAnsi="Times New Roman" w:eastAsia="仿宋_GB2312" w:cs="仿宋_GB2312"/>
          <w:b w:val="0"/>
          <w:bCs w:val="0"/>
          <w:color w:val="auto"/>
          <w:spacing w:val="0"/>
          <w:sz w:val="32"/>
          <w:szCs w:val="32"/>
          <w:lang w:val="en-US" w:eastAsia="zh-CN"/>
        </w:rPr>
        <w:t>自治区衔接资金1000</w:t>
      </w:r>
      <w:r>
        <w:rPr>
          <w:rStyle w:val="13"/>
          <w:rFonts w:hint="eastAsia" w:ascii="Times New Roman" w:hAnsi="Times New Roman" w:eastAsia="仿宋_GB2312" w:cs="仿宋_GB2312"/>
          <w:b w:val="0"/>
          <w:bCs w:val="0"/>
          <w:spacing w:val="0"/>
          <w:sz w:val="32"/>
          <w:szCs w:val="32"/>
        </w:rPr>
        <w:t>万元，</w:t>
      </w:r>
      <w:r>
        <w:rPr>
          <w:rStyle w:val="13"/>
          <w:rFonts w:hint="eastAsia" w:ascii="Times New Roman" w:hAnsi="Times New Roman" w:eastAsia="仿宋_GB2312" w:cs="仿宋_GB2312"/>
          <w:b w:val="0"/>
          <w:bCs w:val="0"/>
          <w:spacing w:val="0"/>
          <w:sz w:val="32"/>
          <w:szCs w:val="32"/>
          <w:lang w:val="en-US"/>
        </w:rPr>
        <w:t>其余资金从2025年其他财政资金中筹</w:t>
      </w:r>
      <w:r>
        <w:rPr>
          <w:rStyle w:val="13"/>
          <w:rFonts w:hint="eastAsia" w:ascii="Times New Roman" w:hAnsi="Times New Roman" w:eastAsia="仿宋_GB2312" w:cs="仿宋_GB2312"/>
          <w:spacing w:val="0"/>
          <w:sz w:val="32"/>
          <w:szCs w:val="32"/>
          <w:lang w:val="en-US"/>
        </w:rPr>
        <w:t>集</w:t>
      </w:r>
      <w:r>
        <w:rPr>
          <w:rStyle w:val="13"/>
          <w:rFonts w:hint="eastAsia" w:ascii="Times New Roman" w:hAnsi="Times New Roman" w:eastAsia="仿宋_GB2312" w:cs="仿宋_GB2312"/>
          <w:spacing w:val="0"/>
          <w:sz w:val="32"/>
          <w:szCs w:val="32"/>
        </w:rPr>
        <w:t>。</w:t>
      </w:r>
    </w:p>
    <w:p w14:paraId="1A5959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99"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pacing w:val="-11"/>
          <w:sz w:val="32"/>
          <w:szCs w:val="32"/>
          <w:lang w:val="en-US" w:eastAsia="zh-CN"/>
        </w:rPr>
        <w:t>建设任务：</w:t>
      </w:r>
      <w:r>
        <w:rPr>
          <w:rFonts w:hint="eastAsia" w:ascii="仿宋_GB2312" w:hAnsi="仿宋_GB2312" w:eastAsia="仿宋_GB2312" w:cs="仿宋_GB2312"/>
          <w:color w:val="auto"/>
          <w:spacing w:val="0"/>
          <w:sz w:val="32"/>
          <w:szCs w:val="32"/>
          <w:lang w:val="en-US" w:eastAsia="zh-CN"/>
        </w:rPr>
        <w:t>新建村级光伏电站2个，总规模12兆瓦</w:t>
      </w:r>
      <w:r>
        <w:rPr>
          <w:rFonts w:hint="eastAsia" w:ascii="仿宋_GB2312" w:hAnsi="仿宋_GB2312" w:eastAsia="仿宋_GB2312" w:cs="仿宋_GB2312"/>
          <w:sz w:val="32"/>
          <w:szCs w:val="32"/>
          <w:lang w:val="en-US" w:eastAsia="zh-CN"/>
        </w:rPr>
        <w:t>。</w:t>
      </w:r>
    </w:p>
    <w:p w14:paraId="79AFDA97">
      <w:pPr>
        <w:keepNext w:val="0"/>
        <w:keepLines w:val="0"/>
        <w:pageBreakBefore w:val="0"/>
        <w:widowControl w:val="0"/>
        <w:kinsoku/>
        <w:wordWrap/>
        <w:overflowPunct w:val="0"/>
        <w:topLinePunct w:val="0"/>
        <w:autoSpaceDE/>
        <w:autoSpaceDN/>
        <w:bidi w:val="0"/>
        <w:adjustRightInd/>
        <w:snapToGrid/>
        <w:spacing w:line="560" w:lineRule="exact"/>
        <w:ind w:firstLine="599" w:firstLineChars="200"/>
        <w:jc w:val="both"/>
        <w:textAlignment w:val="auto"/>
        <w:rPr>
          <w:rStyle w:val="13"/>
          <w:rFonts w:hint="eastAsia" w:ascii="仿宋_GB2312" w:hAnsi="仿宋_GB2312" w:eastAsia="仿宋_GB2312" w:cs="仿宋_GB2312"/>
          <w:b w:val="0"/>
          <w:bCs w:val="0"/>
          <w:color w:val="auto"/>
          <w:spacing w:val="0"/>
          <w:sz w:val="32"/>
          <w:szCs w:val="32"/>
          <w:lang w:val="en-US" w:eastAsia="zh-CN"/>
        </w:rPr>
      </w:pPr>
      <w:r>
        <w:rPr>
          <w:rFonts w:hint="eastAsia" w:ascii="楷体_GB2312" w:hAnsi="楷体_GB2312" w:eastAsia="楷体_GB2312" w:cs="楷体_GB2312"/>
          <w:b/>
          <w:bCs/>
          <w:spacing w:val="-11"/>
          <w:sz w:val="32"/>
          <w:szCs w:val="32"/>
          <w:lang w:val="en-US" w:eastAsia="zh-CN"/>
        </w:rPr>
        <w:t>绩效目标：</w:t>
      </w:r>
      <w:r>
        <w:rPr>
          <w:rFonts w:hint="eastAsia" w:ascii="仿宋_GB2312" w:hAnsi="仿宋_GB2312" w:eastAsia="仿宋_GB2312" w:cs="仿宋_GB2312"/>
          <w:color w:val="auto"/>
          <w:spacing w:val="0"/>
          <w:sz w:val="32"/>
          <w:szCs w:val="32"/>
          <w:lang w:val="en-US" w:eastAsia="zh-CN"/>
        </w:rPr>
        <w:t>项目建成后可迅速达到较高的发电效率，年均发电量可观，为项目带来稳定的经济收益，同时通过技术优化和设备升级增加发电量，拓展合作以提高电力输出稳定性，创造就业岗位助力社会效益提升，并持续优化运营模式，实现零污染、零排放运营以发挥生态环保示范作用，带动相关产业发展并提高公众对可再生能源的认识。</w:t>
      </w:r>
    </w:p>
    <w:p w14:paraId="46463BEB">
      <w:pPr>
        <w:pStyle w:val="2"/>
        <w:keepNext w:val="0"/>
        <w:keepLines w:val="0"/>
        <w:pageBreakBefore w:val="0"/>
        <w:kinsoku/>
        <w:wordWrap/>
        <w:topLinePunct w:val="0"/>
        <w:autoSpaceDE/>
        <w:autoSpaceDN/>
        <w:bidi w:val="0"/>
        <w:adjustRightInd/>
        <w:snapToGrid/>
        <w:spacing w:after="0" w:afterLines="0" w:line="560" w:lineRule="exact"/>
        <w:ind w:firstLine="643" w:firstLineChars="200"/>
        <w:textAlignment w:val="auto"/>
        <w:rPr>
          <w:rFonts w:hint="eastAsia" w:ascii="楷体_GB2312" w:hAnsi="楷体_GB2312" w:eastAsia="楷体_GB2312" w:cs="楷体_GB2312"/>
          <w:b/>
          <w:bCs/>
          <w:spacing w:val="-11"/>
          <w:sz w:val="32"/>
          <w:szCs w:val="32"/>
          <w:lang w:val="en-US" w:eastAsia="zh-CN"/>
        </w:rPr>
      </w:pPr>
      <w:r>
        <w:rPr>
          <w:rFonts w:hint="eastAsia" w:ascii="Times New Roman" w:hAnsi="Times New Roman" w:eastAsia="仿宋_GB2312" w:cs="仿宋_GB2312"/>
          <w:b/>
          <w:bCs/>
          <w:spacing w:val="0"/>
          <w:sz w:val="32"/>
          <w:szCs w:val="32"/>
          <w:lang w:val="en-US" w:eastAsia="zh-CN"/>
        </w:rPr>
        <w:t>群众参与和利益联结机制：一是</w:t>
      </w:r>
      <w:r>
        <w:rPr>
          <w:rFonts w:hint="eastAsia" w:ascii="Times New Roman" w:hAnsi="Times New Roman" w:eastAsia="仿宋_GB2312" w:cs="仿宋_GB2312"/>
          <w:b w:val="0"/>
          <w:bCs w:val="0"/>
          <w:color w:val="auto"/>
          <w:spacing w:val="0"/>
          <w:sz w:val="32"/>
          <w:szCs w:val="32"/>
          <w:lang w:val="en-US" w:eastAsia="zh-CN"/>
        </w:rPr>
        <w:t>投入2025年自治区到户衔接资金1000万元，建设约3.3兆瓦，产权归全旗有监测户的107个村集体所有。年底监测对象动态增减后，根据未消除风险监测对象人数分配收益资金，给予无劳动能力的监测户每人每年可分红500元以上，对有劳动能力的监测户给予产业奖补。</w:t>
      </w:r>
      <w:r>
        <w:rPr>
          <w:rFonts w:hint="eastAsia" w:ascii="Times New Roman" w:hAnsi="Times New Roman" w:eastAsia="仿宋_GB2312" w:cs="仿宋_GB2312"/>
          <w:b/>
          <w:bCs/>
          <w:color w:val="auto"/>
          <w:spacing w:val="0"/>
          <w:sz w:val="32"/>
          <w:szCs w:val="32"/>
          <w:lang w:val="en-US" w:eastAsia="zh-CN"/>
        </w:rPr>
        <w:t>二是</w:t>
      </w:r>
      <w:r>
        <w:rPr>
          <w:rFonts w:hint="eastAsia" w:ascii="Times New Roman" w:hAnsi="Times New Roman" w:eastAsia="仿宋_GB2312" w:cs="仿宋_GB2312"/>
          <w:b w:val="0"/>
          <w:bCs w:val="0"/>
          <w:color w:val="auto"/>
          <w:spacing w:val="0"/>
          <w:sz w:val="32"/>
          <w:szCs w:val="32"/>
          <w:lang w:val="en-US" w:eastAsia="zh-CN"/>
        </w:rPr>
        <w:t>投入中央集体经济项目资金491万元。产权归6个村所有，每个村按照投入资金占比收取收益金，每年每村预计增加村集体经济收入约3.7万元。</w:t>
      </w:r>
    </w:p>
    <w:p w14:paraId="08ACA9E2">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项目管理费30万元。</w:t>
      </w:r>
    </w:p>
    <w:p w14:paraId="1C5D8E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项目类型：</w:t>
      </w:r>
      <w:r>
        <w:rPr>
          <w:rFonts w:hint="eastAsia" w:ascii="仿宋_GB2312" w:hAnsi="仿宋_GB2312" w:eastAsia="仿宋_GB2312" w:cs="仿宋_GB2312"/>
          <w:b w:val="0"/>
          <w:bCs w:val="0"/>
          <w:sz w:val="32"/>
          <w:szCs w:val="32"/>
          <w:lang w:val="en-US" w:eastAsia="zh-CN"/>
        </w:rPr>
        <w:t>项目管理费</w:t>
      </w:r>
    </w:p>
    <w:p w14:paraId="04AA2005">
      <w:pPr>
        <w:keepNext w:val="0"/>
        <w:keepLines w:val="0"/>
        <w:pageBreakBefore w:val="0"/>
        <w:kinsoku/>
        <w:wordWrap/>
        <w:overflowPunct/>
        <w:topLinePunct w:val="0"/>
        <w:autoSpaceDE/>
        <w:autoSpaceDN/>
        <w:bidi w:val="0"/>
        <w:adjustRightInd/>
        <w:snapToGrid/>
        <w:spacing w:line="560" w:lineRule="exact"/>
        <w:ind w:firstLine="599" w:firstLineChars="200"/>
        <w:textAlignment w:val="auto"/>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b/>
          <w:bCs/>
          <w:spacing w:val="-11"/>
          <w:sz w:val="32"/>
          <w:szCs w:val="32"/>
          <w:lang w:val="en-US" w:eastAsia="zh-CN"/>
        </w:rPr>
        <w:t>实施地点：</w:t>
      </w:r>
      <w:r>
        <w:rPr>
          <w:rFonts w:hint="eastAsia" w:ascii="仿宋_GB2312" w:hAnsi="仿宋_GB2312" w:eastAsia="仿宋_GB2312" w:cs="仿宋_GB2312"/>
          <w:b w:val="0"/>
          <w:bCs w:val="0"/>
          <w:spacing w:val="-11"/>
          <w:sz w:val="32"/>
          <w:szCs w:val="32"/>
          <w:lang w:val="en-US" w:eastAsia="zh-CN"/>
        </w:rPr>
        <w:t>杭锦后旗</w:t>
      </w:r>
    </w:p>
    <w:p w14:paraId="2110B5A5">
      <w:pPr>
        <w:keepNext w:val="0"/>
        <w:keepLines w:val="0"/>
        <w:pageBreakBefore w:val="0"/>
        <w:kinsoku/>
        <w:wordWrap/>
        <w:overflowPunct/>
        <w:topLinePunct w:val="0"/>
        <w:autoSpaceDE/>
        <w:autoSpaceDN/>
        <w:bidi w:val="0"/>
        <w:adjustRightInd/>
        <w:snapToGrid/>
        <w:spacing w:line="560" w:lineRule="exact"/>
        <w:ind w:firstLine="599" w:firstLineChars="200"/>
        <w:textAlignment w:val="auto"/>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b/>
          <w:bCs/>
          <w:spacing w:val="-11"/>
          <w:sz w:val="32"/>
          <w:szCs w:val="32"/>
          <w:lang w:val="en-US" w:eastAsia="zh-CN"/>
        </w:rPr>
        <w:t>建设性质：</w:t>
      </w:r>
      <w:r>
        <w:rPr>
          <w:rFonts w:hint="eastAsia" w:ascii="仿宋_GB2312" w:hAnsi="仿宋_GB2312" w:eastAsia="仿宋_GB2312" w:cs="仿宋_GB2312"/>
          <w:b w:val="0"/>
          <w:bCs w:val="0"/>
          <w:spacing w:val="-11"/>
          <w:sz w:val="32"/>
          <w:szCs w:val="32"/>
          <w:lang w:val="en-US" w:eastAsia="zh-CN"/>
        </w:rPr>
        <w:t>新建</w:t>
      </w:r>
    </w:p>
    <w:p w14:paraId="38675624">
      <w:pPr>
        <w:keepNext w:val="0"/>
        <w:keepLines w:val="0"/>
        <w:pageBreakBefore w:val="0"/>
        <w:kinsoku/>
        <w:wordWrap/>
        <w:overflowPunct/>
        <w:topLinePunct w:val="0"/>
        <w:autoSpaceDE/>
        <w:autoSpaceDN/>
        <w:bidi w:val="0"/>
        <w:adjustRightInd/>
        <w:snapToGrid/>
        <w:spacing w:line="560" w:lineRule="exact"/>
        <w:ind w:firstLine="599"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b/>
          <w:bCs/>
          <w:spacing w:val="-11"/>
          <w:sz w:val="32"/>
          <w:szCs w:val="32"/>
          <w:lang w:val="en-US" w:eastAsia="zh-CN"/>
        </w:rPr>
        <w:t>时间进度：</w:t>
      </w:r>
      <w:r>
        <w:rPr>
          <w:rFonts w:hint="eastAsia" w:ascii="仿宋_GB2312" w:hAnsi="仿宋_GB2312" w:eastAsia="仿宋_GB2312" w:cs="仿宋_GB2312"/>
          <w:spacing w:val="-11"/>
          <w:sz w:val="32"/>
          <w:szCs w:val="32"/>
          <w:lang w:val="en-US" w:eastAsia="zh-CN"/>
        </w:rPr>
        <w:t>2025年1月－2025年12月</w:t>
      </w:r>
    </w:p>
    <w:p w14:paraId="494C8573">
      <w:pPr>
        <w:pStyle w:val="9"/>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599" w:firstLineChars="200"/>
        <w:jc w:val="both"/>
        <w:textAlignment w:val="auto"/>
        <w:rPr>
          <w:rFonts w:hint="default" w:ascii="仿宋_GB2312" w:eastAsia="仿宋"/>
          <w:color w:val="000000"/>
          <w:sz w:val="32"/>
          <w:szCs w:val="32"/>
          <w:lang w:val="en-US" w:eastAsia="zh-CN"/>
        </w:rPr>
      </w:pPr>
      <w:r>
        <w:rPr>
          <w:rFonts w:hint="eastAsia" w:ascii="仿宋_GB2312" w:hAnsi="仿宋_GB2312" w:eastAsia="仿宋_GB2312" w:cs="仿宋_GB2312"/>
          <w:b/>
          <w:bCs/>
          <w:spacing w:val="-11"/>
          <w:sz w:val="32"/>
          <w:szCs w:val="32"/>
          <w:lang w:val="en-US" w:eastAsia="zh-CN"/>
        </w:rPr>
        <w:t>受益对象：</w:t>
      </w:r>
      <w:r>
        <w:rPr>
          <w:rFonts w:hint="eastAsia" w:ascii="仿宋_GB2312" w:hAnsi="仿宋_GB2312" w:eastAsia="仿宋_GB2312" w:cs="仿宋_GB2312"/>
          <w:b w:val="0"/>
          <w:bCs/>
          <w:color w:val="auto"/>
          <w:sz w:val="32"/>
          <w:szCs w:val="32"/>
          <w:lang w:val="en-US" w:eastAsia="zh-CN"/>
        </w:rPr>
        <w:t>脱贫和监测人口4720人。</w:t>
      </w:r>
    </w:p>
    <w:p w14:paraId="7D13B095">
      <w:pPr>
        <w:pStyle w:val="9"/>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32"/>
          <w:szCs w:val="32"/>
          <w:lang w:val="en-US" w:eastAsia="zh-CN"/>
        </w:rPr>
        <w:t>责任单位：</w:t>
      </w:r>
      <w:r>
        <w:rPr>
          <w:rFonts w:hint="eastAsia" w:ascii="仿宋_GB2312" w:hAnsi="仿宋_GB2312" w:eastAsia="仿宋_GB2312" w:cs="仿宋_GB2312"/>
          <w:b w:val="0"/>
          <w:bCs/>
          <w:color w:val="auto"/>
          <w:sz w:val="32"/>
          <w:szCs w:val="32"/>
          <w:lang w:val="en-US" w:eastAsia="zh-CN"/>
        </w:rPr>
        <w:t>杭锦后旗农牧和科技局</w:t>
      </w:r>
    </w:p>
    <w:p w14:paraId="5D838647">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3" w:firstLineChars="200"/>
        <w:textAlignment w:val="auto"/>
        <w:rPr>
          <w:rFonts w:hint="default"/>
          <w:lang w:val="en-US" w:eastAsia="zh-CN"/>
        </w:rPr>
      </w:pPr>
      <w:r>
        <w:rPr>
          <w:rFonts w:hint="eastAsia" w:ascii="仿宋_GB2312" w:hAnsi="仿宋_GB2312" w:eastAsia="仿宋_GB2312" w:cs="仿宋_GB2312"/>
          <w:b/>
          <w:bCs/>
          <w:kern w:val="2"/>
          <w:sz w:val="32"/>
          <w:szCs w:val="32"/>
          <w:lang w:val="en-US" w:eastAsia="zh-CN" w:bidi="ar-SA"/>
        </w:rPr>
        <w:t>责</w:t>
      </w:r>
      <w:r>
        <w:rPr>
          <w:rFonts w:hint="eastAsia" w:ascii="仿宋_GB2312" w:hAnsi="仿宋_GB2312" w:cs="仿宋_GB2312"/>
          <w:b/>
          <w:bCs/>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任</w:t>
      </w:r>
      <w:r>
        <w:rPr>
          <w:rFonts w:hint="eastAsia" w:ascii="仿宋_GB2312" w:hAnsi="仿宋_GB2312" w:cs="仿宋_GB2312"/>
          <w:b/>
          <w:bCs/>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人：</w:t>
      </w:r>
      <w:r>
        <w:rPr>
          <w:rFonts w:hint="eastAsia" w:ascii="仿宋_GB2312" w:hAnsi="仿宋_GB2312" w:cs="仿宋_GB2312"/>
          <w:b w:val="0"/>
          <w:bCs w:val="0"/>
          <w:sz w:val="32"/>
          <w:szCs w:val="32"/>
          <w:lang w:val="en-US" w:eastAsia="zh-CN"/>
        </w:rPr>
        <w:t>张少恒</w:t>
      </w:r>
    </w:p>
    <w:p w14:paraId="7C426766">
      <w:pPr>
        <w:pStyle w:val="6"/>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eastAsia="仿宋_GB2312"/>
          <w:b w:val="0"/>
          <w:bCs w:val="0"/>
          <w:lang w:val="en-US" w:eastAsia="zh-CN"/>
        </w:rPr>
      </w:pPr>
      <w:r>
        <w:rPr>
          <w:rFonts w:hint="eastAsia" w:ascii="仿宋_GB2312" w:hAnsi="仿宋_GB2312" w:eastAsia="仿宋_GB2312" w:cs="仿宋_GB2312"/>
          <w:b/>
          <w:bCs/>
          <w:color w:val="auto"/>
          <w:sz w:val="32"/>
          <w:szCs w:val="32"/>
          <w:lang w:val="en-US" w:eastAsia="zh-CN"/>
        </w:rPr>
        <w:t>资金规模和筹资方式：</w:t>
      </w:r>
      <w:r>
        <w:rPr>
          <w:rFonts w:hint="eastAsia" w:ascii="仿宋_GB2312" w:hAnsi="仿宋_GB2312" w:eastAsia="仿宋_GB2312" w:cs="仿宋_GB2312"/>
          <w:b w:val="0"/>
          <w:bCs w:val="0"/>
          <w:color w:val="auto"/>
          <w:sz w:val="32"/>
          <w:szCs w:val="32"/>
          <w:lang w:val="en-US" w:eastAsia="zh-CN"/>
        </w:rPr>
        <w:t>财政衔接资金30</w:t>
      </w:r>
      <w:r>
        <w:rPr>
          <w:rStyle w:val="13"/>
          <w:rFonts w:hint="eastAsia" w:ascii="仿宋_GB2312" w:hAnsi="仿宋_GB2312" w:eastAsia="仿宋_GB2312" w:cs="仿宋_GB2312"/>
          <w:b w:val="0"/>
          <w:bCs w:val="0"/>
          <w:sz w:val="32"/>
          <w:szCs w:val="32"/>
        </w:rPr>
        <w:t>万元。</w:t>
      </w:r>
    </w:p>
    <w:p w14:paraId="57299D5A">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建设任务及规模：</w:t>
      </w:r>
      <w:r>
        <w:rPr>
          <w:rFonts w:hint="eastAsia" w:ascii="仿宋_GB2312" w:hAnsi="仿宋_GB2312" w:eastAsia="仿宋_GB2312" w:cs="仿宋_GB2312"/>
          <w:b w:val="0"/>
          <w:bCs w:val="0"/>
          <w:color w:val="auto"/>
          <w:kern w:val="2"/>
          <w:sz w:val="32"/>
          <w:szCs w:val="32"/>
          <w:lang w:val="en-US" w:eastAsia="zh-CN" w:bidi="ar-SA"/>
        </w:rPr>
        <w:t>主要用于实施项目前期设计、评审、招标、监理及验收等与项目管理相关的支出。</w:t>
      </w:r>
    </w:p>
    <w:p w14:paraId="04AE5EC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b w:val="0"/>
          <w:bCs w:val="0"/>
          <w:sz w:val="32"/>
          <w:szCs w:val="32"/>
          <w:lang w:val="en-US" w:eastAsia="zh-CN"/>
        </w:rPr>
        <w:t>二、</w:t>
      </w:r>
      <w:r>
        <w:rPr>
          <w:rFonts w:hint="eastAsia" w:ascii="Times New Roman" w:hAnsi="Times New Roman" w:eastAsia="黑体" w:cs="黑体"/>
          <w:sz w:val="32"/>
          <w:szCs w:val="32"/>
          <w:lang w:val="en-US" w:eastAsia="zh-CN"/>
        </w:rPr>
        <w:t>发展新型农村集体经济资金120万元用于：</w:t>
      </w:r>
    </w:p>
    <w:p w14:paraId="59426EFF">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杭锦后旗光伏帮扶电站建设项目，扶持壮大双庙镇五丰村、蛮会镇新堂村、沙海镇新乐村、三道桥镇长庆村集体经济。</w:t>
      </w:r>
      <w:bookmarkStart w:id="0" w:name="_GoBack"/>
      <w:bookmarkEnd w:id="0"/>
    </w:p>
    <w:p w14:paraId="03C27345">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sz w:val="32"/>
          <w:szCs w:val="32"/>
          <w:lang w:val="en-US" w:eastAsia="zh-CN"/>
        </w:rPr>
        <w:t>三、</w:t>
      </w:r>
      <w:r>
        <w:rPr>
          <w:rFonts w:hint="eastAsia" w:ascii="Times New Roman" w:hAnsi="Times New Roman" w:eastAsia="黑体" w:cs="黑体"/>
          <w:b w:val="0"/>
          <w:bCs w:val="0"/>
          <w:sz w:val="32"/>
          <w:szCs w:val="32"/>
          <w:lang w:val="en-US" w:eastAsia="zh-CN"/>
        </w:rPr>
        <w:t>少数民族发展任务资金21万元用于：</w:t>
      </w:r>
    </w:p>
    <w:p w14:paraId="58A8758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en-US" w:eastAsia="zh-CN"/>
        </w:rPr>
        <w:t>杭锦后旗光伏帮扶电站建设项目。</w:t>
      </w:r>
    </w:p>
    <w:p w14:paraId="7781807A">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BFB2E0"/>
    <w:multiLevelType w:val="singleLevel"/>
    <w:tmpl w:val="69BFB2E0"/>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71F81"/>
    <w:rsid w:val="148F4DC5"/>
    <w:rsid w:val="15571F81"/>
    <w:rsid w:val="1B882A24"/>
    <w:rsid w:val="403F7118"/>
    <w:rsid w:val="55676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5"/>
    <w:qFormat/>
    <w:uiPriority w:val="0"/>
    <w:pPr>
      <w:spacing w:before="104" w:beforeLines="0" w:beforeAutospacing="0" w:after="104" w:afterLines="0" w:afterAutospacing="0" w:line="0" w:lineRule="atLeast"/>
      <w:ind w:firstLine="0" w:firstLineChars="0"/>
      <w:jc w:val="center"/>
      <w:outlineLvl w:val="0"/>
    </w:pPr>
    <w:rPr>
      <w:rFonts w:ascii="Arial" w:hAnsi="Arial" w:eastAsia="黑体"/>
      <w:sz w:val="32"/>
    </w:rPr>
  </w:style>
  <w:style w:type="paragraph" w:styleId="5">
    <w:name w:val="heading 2"/>
    <w:basedOn w:val="1"/>
    <w:next w:val="1"/>
    <w:unhideWhenUsed/>
    <w:qFormat/>
    <w:uiPriority w:val="0"/>
    <w:pPr>
      <w:spacing w:line="0" w:lineRule="atLeast"/>
      <w:ind w:firstLine="0" w:firstLineChars="0"/>
      <w:jc w:val="center"/>
      <w:outlineLvl w:val="1"/>
    </w:pPr>
    <w:rPr>
      <w:rFonts w:ascii="Times New Roman" w:hAnsi="Times New Roman"/>
      <w:sz w:val="28"/>
    </w:rPr>
  </w:style>
  <w:style w:type="paragraph" w:styleId="3">
    <w:name w:val="heading 4"/>
    <w:basedOn w:val="1"/>
    <w:next w:val="1"/>
    <w:unhideWhenUsed/>
    <w:qFormat/>
    <w:uiPriority w:val="0"/>
    <w:pPr>
      <w:spacing w:before="280" w:after="290" w:line="376" w:lineRule="auto"/>
      <w:outlineLvl w:val="3"/>
    </w:pPr>
    <w:rPr>
      <w:sz w:val="28"/>
      <w:szCs w:val="28"/>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6">
    <w:name w:val="table of authorities"/>
    <w:basedOn w:val="1"/>
    <w:next w:val="1"/>
    <w:qFormat/>
    <w:uiPriority w:val="0"/>
    <w:pPr>
      <w:ind w:left="420" w:leftChars="200"/>
    </w:pPr>
  </w:style>
  <w:style w:type="paragraph" w:styleId="7">
    <w:name w:val="Body Text Indent"/>
    <w:basedOn w:val="1"/>
    <w:next w:val="8"/>
    <w:qFormat/>
    <w:uiPriority w:val="0"/>
    <w:pPr>
      <w:ind w:firstLine="830" w:firstLineChars="352"/>
    </w:pPr>
    <w:rPr>
      <w:rFonts w:ascii="仿宋_GB2312" w:eastAsia="仿宋_GB2312"/>
      <w:sz w:val="32"/>
      <w:szCs w:val="22"/>
    </w:rPr>
  </w:style>
  <w:style w:type="paragraph" w:styleId="8">
    <w:name w:val="Body Text First Indent 2"/>
    <w:basedOn w:val="7"/>
    <w:next w:val="1"/>
    <w:qFormat/>
    <w:uiPriority w:val="0"/>
    <w:pPr>
      <w:widowControl/>
      <w:spacing w:line="351" w:lineRule="atLeast"/>
      <w:ind w:firstLine="420" w:firstLineChars="200"/>
      <w:textAlignment w:val="baseline"/>
    </w:pPr>
    <w:rPr>
      <w:rFonts w:hAnsi="宋体"/>
    </w:rPr>
  </w:style>
  <w:style w:type="paragraph" w:styleId="9">
    <w:name w:val="Title"/>
    <w:basedOn w:val="1"/>
    <w:next w:val="10"/>
    <w:qFormat/>
    <w:uiPriority w:val="0"/>
    <w:pPr>
      <w:spacing w:before="240" w:after="60"/>
      <w:jc w:val="center"/>
      <w:outlineLvl w:val="0"/>
    </w:pPr>
    <w:rPr>
      <w:rFonts w:ascii="Arial" w:hAnsi="Arial"/>
      <w:b/>
      <w:sz w:val="32"/>
    </w:rPr>
  </w:style>
  <w:style w:type="paragraph" w:customStyle="1" w:styleId="10">
    <w:name w:val="文章附标题"/>
    <w:basedOn w:val="1"/>
    <w:next w:val="4"/>
    <w:qFormat/>
    <w:uiPriority w:val="0"/>
    <w:pPr>
      <w:spacing w:before="104" w:beforeLines="0" w:beforeAutospacing="0" w:after="104" w:afterLines="0" w:afterAutospacing="0" w:line="0" w:lineRule="atLeast"/>
      <w:ind w:firstLine="0" w:firstLineChars="0"/>
      <w:jc w:val="center"/>
    </w:pPr>
    <w:rPr>
      <w:sz w:val="36"/>
    </w:rPr>
  </w:style>
  <w:style w:type="character" w:customStyle="1" w:styleId="13">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2025-03-12T02:15:00Z</dcterms:created>
  <dc:creator>Lenovo</dc:creator>
  <cp:lastModifiedBy>Lenovo</cp:lastModifiedBy>
  <dcterms:modified xsi:type="dcterms:W3CDTF">2025-03-12T03:00:10Z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EB30AAD093314F85A5F586DC64038768_11</vt:lpwstr>
  </property>
  <property fmtid="{D5CDD505-2E9C-101B-9397-08002B2CF9AE}" pid="4" name="KSOTemplateDocerSaveRecord">
    <vt:lpwstr>eyJoZGlkIjoiN2RkMzRiNjVmODI1ZDcwMjY4Mjk2MDg0MjQzYzMyYzUifQ==</vt:lpwstr>
  </property>
</Properties>
</file>