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附件2</w:t>
      </w:r>
    </w:p>
    <w:p>
      <w:pPr>
        <w:rPr>
          <w:rFonts w:hint="eastAsia" w:ascii="仿宋_GB2312" w:eastAsia="仿宋_GB2312"/>
          <w:sz w:val="32"/>
          <w:szCs w:val="32"/>
        </w:rPr>
      </w:pPr>
    </w:p>
    <w:p>
      <w:pPr>
        <w:jc w:val="center"/>
        <w:rPr>
          <w:rFonts w:hint="eastAsia" w:ascii="长城小标宋体" w:hAnsi="长城小标宋体" w:eastAsia="长城小标宋体"/>
          <w:b w:val="0"/>
          <w:bCs/>
          <w:sz w:val="44"/>
          <w:szCs w:val="44"/>
        </w:rPr>
      </w:pPr>
      <w:r>
        <w:rPr>
          <w:rFonts w:hint="eastAsia" w:ascii="长城小标宋体" w:hAnsi="长城小标宋体" w:eastAsia="长城小标宋体"/>
          <w:b w:val="0"/>
          <w:bCs/>
          <w:sz w:val="44"/>
          <w:szCs w:val="44"/>
        </w:rPr>
        <w:t>人感染H7N9禽流感病毒标本采集</w:t>
      </w:r>
    </w:p>
    <w:p>
      <w:pPr>
        <w:jc w:val="center"/>
        <w:rPr>
          <w:rFonts w:hint="eastAsia" w:ascii="长城小标宋体" w:hAnsi="长城小标宋体" w:eastAsia="长城小标宋体"/>
          <w:b w:val="0"/>
          <w:bCs/>
          <w:sz w:val="44"/>
          <w:szCs w:val="44"/>
        </w:rPr>
      </w:pPr>
      <w:r>
        <w:rPr>
          <w:rFonts w:hint="eastAsia" w:ascii="长城小标宋体" w:hAnsi="长城小标宋体" w:eastAsia="长城小标宋体"/>
          <w:b w:val="0"/>
          <w:bCs/>
          <w:sz w:val="44"/>
          <w:szCs w:val="44"/>
        </w:rPr>
        <w:t>及实验室检测策略</w:t>
      </w:r>
    </w:p>
    <w:p>
      <w:pPr>
        <w:rPr>
          <w:rFonts w:hint="eastAsia" w:ascii="仿宋_GB2312" w:eastAsia="仿宋_GB2312"/>
          <w:sz w:val="32"/>
          <w:szCs w:val="32"/>
        </w:rPr>
      </w:pPr>
    </w:p>
    <w:p>
      <w:pPr>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一、标本采集、转送和检测</w:t>
      </w:r>
    </w:p>
    <w:p>
      <w:pPr>
        <w:rPr>
          <w:rFonts w:hint="eastAsia" w:ascii="楷体_GB2312" w:eastAsia="楷体_GB2312"/>
          <w:b/>
          <w:sz w:val="32"/>
          <w:szCs w:val="32"/>
        </w:rPr>
      </w:pPr>
      <w:r>
        <w:rPr>
          <w:rFonts w:hint="eastAsia" w:ascii="仿宋_GB2312" w:eastAsia="仿宋_GB2312"/>
          <w:sz w:val="32"/>
          <w:szCs w:val="32"/>
        </w:rPr>
        <w:t xml:space="preserve">    </w:t>
      </w:r>
      <w:r>
        <w:rPr>
          <w:rFonts w:hint="eastAsia" w:ascii="楷体_GB2312" w:eastAsia="楷体_GB2312"/>
          <w:b/>
          <w:sz w:val="32"/>
          <w:szCs w:val="32"/>
        </w:rPr>
        <w:t>（一）标本采集</w:t>
      </w:r>
    </w:p>
    <w:p>
      <w:pPr>
        <w:rPr>
          <w:rFonts w:hint="eastAsia" w:ascii="仿宋_GB2312" w:eastAsia="仿宋_GB2312"/>
          <w:sz w:val="32"/>
          <w:szCs w:val="32"/>
        </w:rPr>
      </w:pPr>
      <w:r>
        <w:rPr>
          <w:rFonts w:hint="eastAsia" w:ascii="仿宋_GB2312" w:eastAsia="仿宋_GB2312"/>
          <w:sz w:val="32"/>
          <w:szCs w:val="32"/>
        </w:rPr>
        <w:t xml:space="preserve">    医疗机构应当及时采集病例的相关临床标本。采集的临床标本包括病人的上呼吸道标本（包括咽拭子、鼻拭子、鼻咽抽取物、咽漱液和鼻洗液）、下呼吸道标本（如气管吸取物、肺洗液、肺组织标本）和血清标本等。应当尽量采集病例发病早期的呼吸道标本（尤其是下呼吸道标本）和发病7天内急性期血清以及间隔2-4 周的恢复期血清。如病人死亡，应当尽可能说服家属同意尸检，及时进行尸体解剖，采集组织（如肺组织、气管、支气管组织）标本。为避免标本反复冻融，保证标本检测质量，采集的呼吸道标本每份分为3 管，每管不少于1ml。血清标本每份分为2 管，每管不少于0.5ml。并填写不明原因肺炎病例/聚集性病例标本送检表。</w:t>
      </w:r>
    </w:p>
    <w:p>
      <w:pPr>
        <w:rPr>
          <w:rFonts w:hint="eastAsia" w:ascii="楷体_GB2312" w:eastAsia="楷体_GB2312"/>
          <w:b/>
          <w:sz w:val="32"/>
          <w:szCs w:val="32"/>
        </w:rPr>
      </w:pPr>
      <w:r>
        <w:rPr>
          <w:rFonts w:hint="eastAsia" w:ascii="仿宋_GB2312" w:eastAsia="仿宋_GB2312"/>
          <w:sz w:val="32"/>
          <w:szCs w:val="32"/>
        </w:rPr>
        <w:t xml:space="preserve">    </w:t>
      </w:r>
      <w:r>
        <w:rPr>
          <w:rFonts w:hint="eastAsia" w:ascii="楷体_GB2312" w:eastAsia="楷体_GB2312"/>
          <w:b/>
          <w:sz w:val="32"/>
          <w:szCs w:val="32"/>
        </w:rPr>
        <w:t>（二）标本转送和检测</w:t>
      </w:r>
    </w:p>
    <w:p>
      <w:pPr>
        <w:rPr>
          <w:rFonts w:hint="eastAsia" w:ascii="仿宋_GB2312" w:eastAsia="仿宋_GB2312"/>
          <w:sz w:val="32"/>
          <w:szCs w:val="32"/>
        </w:rPr>
      </w:pPr>
      <w:r>
        <w:rPr>
          <w:rFonts w:hint="eastAsia" w:ascii="仿宋_GB2312" w:eastAsia="仿宋_GB2312"/>
          <w:sz w:val="32"/>
          <w:szCs w:val="32"/>
        </w:rPr>
        <w:t xml:space="preserve">    1、H7N9禽流感病毒实验室活动和样本运输按照《人间传染的病原微生物名录》中高致病性禽流感病毒进行管理。病例的临床标本采集后，疾病预防控制机构和病例收治的医疗机构要密切配合，按照生物安全的相关规定进行包装，在24 小时内送到市疾控中心流感监测网络实验室进行检测。</w:t>
      </w:r>
    </w:p>
    <w:p>
      <w:pPr>
        <w:rPr>
          <w:rFonts w:hint="eastAsia" w:ascii="仿宋_GB2312" w:eastAsia="仿宋_GB2312"/>
          <w:sz w:val="32"/>
          <w:szCs w:val="32"/>
        </w:rPr>
      </w:pPr>
      <w:r>
        <w:rPr>
          <w:rFonts w:hint="eastAsia" w:ascii="仿宋_GB2312" w:eastAsia="仿宋_GB2312"/>
          <w:sz w:val="32"/>
          <w:szCs w:val="32"/>
        </w:rPr>
        <w:t xml:space="preserve">    2、市疾控中心流感监测网络实验室收到标本后24 小时内，立即对呼吸道标本开展甲、乙型流感病毒通用引物H5、H7亚型的检测。</w:t>
      </w:r>
    </w:p>
    <w:p>
      <w:pPr>
        <w:rPr>
          <w:rFonts w:hint="eastAsia" w:ascii="仿宋_GB2312" w:eastAsia="仿宋_GB2312"/>
          <w:sz w:val="32"/>
          <w:szCs w:val="32"/>
        </w:rPr>
      </w:pPr>
      <w:r>
        <w:rPr>
          <w:rFonts w:hint="eastAsia" w:ascii="仿宋_GB2312" w:eastAsia="仿宋_GB2312"/>
          <w:sz w:val="32"/>
          <w:szCs w:val="32"/>
        </w:rPr>
        <w:t xml:space="preserve">    若市疾控中心流感监测网络实验室检测结果为H5、H7核酸检测阳性时，应当于24小时内将其中2管呼吸道相关原始标本分别送自治区疾控中心流感网络实验室和国家流感中心。</w:t>
      </w:r>
    </w:p>
    <w:p>
      <w:pPr>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二、标本检测结果反馈和报告</w:t>
      </w:r>
    </w:p>
    <w:p>
      <w:pPr>
        <w:rPr>
          <w:rFonts w:hint="eastAsia" w:ascii="仿宋_GB2312" w:eastAsia="仿宋_GB2312"/>
          <w:sz w:val="32"/>
          <w:szCs w:val="32"/>
        </w:rPr>
      </w:pPr>
      <w:r>
        <w:rPr>
          <w:rFonts w:hint="eastAsia" w:ascii="仿宋_GB2312" w:eastAsia="仿宋_GB2312"/>
          <w:sz w:val="32"/>
          <w:szCs w:val="32"/>
        </w:rPr>
        <w:t xml:space="preserve">    市疾控中心要及时将标本信息和检测结果信息报送国家流感中心，并在24 小时内由网络实验室所在疾控中心逐级反馈到病例所在医院。</w:t>
      </w:r>
    </w:p>
    <w:p>
      <w:pPr>
        <w:ind w:firstLine="640" w:firstLineChars="200"/>
        <w:rPr>
          <w:rFonts w:hint="eastAsia" w:ascii="仿宋_GB2312" w:eastAsia="仿宋_GB2312"/>
          <w:sz w:val="32"/>
          <w:szCs w:val="32"/>
        </w:rPr>
      </w:pPr>
      <w:r>
        <w:rPr>
          <w:rFonts w:hint="eastAsia" w:ascii="仿宋_GB2312" w:eastAsia="仿宋_GB2312"/>
          <w:sz w:val="32"/>
          <w:szCs w:val="32"/>
        </w:rPr>
        <w:t>当标本为SARS、禽流感（H5、H7）、新型冠状病毒或其他新型病原体检测阳性时，检测结果应当及时报告给同级卫生行政部门。</w:t>
      </w:r>
    </w:p>
    <w:p>
      <w:pPr>
        <w:ind w:firstLine="640" w:firstLineChars="200"/>
        <w:rPr>
          <w:rFonts w:hint="eastAsia" w:ascii="仿宋_GB2312"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小标宋体">
    <w:altName w:val="宋体"/>
    <w:panose1 w:val="02010609010101010101"/>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451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2017-06-02T08:34:50Z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